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28" w:type="dxa"/>
        <w:jc w:val="center"/>
        <w:tblLayout w:type="fixed"/>
        <w:tblLook w:val="04A0" w:firstRow="1" w:lastRow="0" w:firstColumn="1" w:lastColumn="0" w:noHBand="0" w:noVBand="1"/>
      </w:tblPr>
      <w:tblGrid>
        <w:gridCol w:w="2988"/>
        <w:gridCol w:w="11340"/>
      </w:tblGrid>
      <w:tr w:rsidR="004F2E40" w:rsidRPr="00E42BD5" w:rsidTr="00F027C7">
        <w:trPr>
          <w:trHeight w:val="268"/>
          <w:tblHeader/>
          <w:jc w:val="center"/>
        </w:trPr>
        <w:tc>
          <w:tcPr>
            <w:tcW w:w="2988" w:type="dxa"/>
          </w:tcPr>
          <w:p w:rsidR="004F2E40" w:rsidRPr="002E3540" w:rsidRDefault="004F2E40" w:rsidP="00D51BCC">
            <w:pPr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2E3540">
              <w:rPr>
                <w:rFonts w:ascii="Arial" w:hAnsi="Arial" w:cs="Arial"/>
                <w:b/>
                <w:bCs/>
              </w:rPr>
              <w:t>Infection Type</w:t>
            </w:r>
            <w:r>
              <w:rPr>
                <w:rFonts w:ascii="Arial" w:hAnsi="Arial" w:cs="Arial"/>
                <w:b/>
                <w:bCs/>
              </w:rPr>
              <w:t xml:space="preserve"> &amp; Common Organisms</w:t>
            </w:r>
          </w:p>
        </w:tc>
        <w:tc>
          <w:tcPr>
            <w:tcW w:w="11340" w:type="dxa"/>
          </w:tcPr>
          <w:p w:rsidR="000E706D" w:rsidRDefault="004F2E40" w:rsidP="00D51BC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Appropriate </w:t>
            </w:r>
            <w:r w:rsidR="003F4AD6">
              <w:rPr>
                <w:rFonts w:ascii="Arial" w:hAnsi="Arial" w:cs="Arial"/>
                <w:b/>
                <w:bCs/>
              </w:rPr>
              <w:t xml:space="preserve">ADULT </w:t>
            </w:r>
            <w:r w:rsidR="00FA651F">
              <w:rPr>
                <w:rFonts w:ascii="Arial" w:hAnsi="Arial" w:cs="Arial"/>
                <w:b/>
                <w:bCs/>
              </w:rPr>
              <w:t xml:space="preserve">Empiric </w:t>
            </w:r>
            <w:r>
              <w:rPr>
                <w:rFonts w:ascii="Arial" w:hAnsi="Arial" w:cs="Arial"/>
                <w:b/>
                <w:bCs/>
              </w:rPr>
              <w:t xml:space="preserve">Vancomycin Indications </w:t>
            </w:r>
          </w:p>
          <w:p w:rsidR="004F2E40" w:rsidRPr="002E3540" w:rsidRDefault="004F2E40" w:rsidP="00D51BCC">
            <w:pPr>
              <w:rPr>
                <w:rFonts w:ascii="Arial" w:hAnsi="Arial" w:cs="Arial"/>
                <w:b/>
                <w:bCs/>
              </w:rPr>
            </w:pPr>
            <w:r w:rsidRPr="009D2893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(NOTE: may be part of a combination therapy regimen, refer to appropriate treatment guidelines for guidance)</w:t>
            </w:r>
          </w:p>
        </w:tc>
      </w:tr>
      <w:tr w:rsidR="004F2E40" w:rsidRPr="00E42BD5" w:rsidTr="00F027C7">
        <w:trPr>
          <w:trHeight w:val="287"/>
          <w:jc w:val="center"/>
        </w:trPr>
        <w:tc>
          <w:tcPr>
            <w:tcW w:w="2988" w:type="dxa"/>
            <w:shd w:val="clear" w:color="auto" w:fill="FCEBE0"/>
          </w:tcPr>
          <w:p w:rsidR="004F2E40" w:rsidRPr="0029777F" w:rsidRDefault="004F2E40" w:rsidP="004F2E40">
            <w:pPr>
              <w:rPr>
                <w:rFonts w:ascii="Arial" w:eastAsia="Times New Roman" w:hAnsi="Arial" w:cs="Arial"/>
                <w:color w:val="000000"/>
              </w:rPr>
            </w:pPr>
            <w:r w:rsidRPr="0052626E">
              <w:rPr>
                <w:rFonts w:ascii="Arial" w:hAnsi="Arial" w:cs="Arial"/>
                <w:b/>
                <w:bCs/>
              </w:rPr>
              <w:t xml:space="preserve">Bacteremia </w:t>
            </w:r>
          </w:p>
          <w:p w:rsidR="004F2E40" w:rsidRPr="00E42BD5" w:rsidRDefault="004F2E40" w:rsidP="00D51BCC">
            <w:pPr>
              <w:rPr>
                <w:rFonts w:ascii="Arial" w:hAnsi="Arial" w:cs="Arial"/>
              </w:rPr>
            </w:pPr>
          </w:p>
        </w:tc>
        <w:tc>
          <w:tcPr>
            <w:tcW w:w="11340" w:type="dxa"/>
            <w:shd w:val="clear" w:color="auto" w:fill="FCEBE0"/>
          </w:tcPr>
          <w:p w:rsidR="004F2E40" w:rsidRPr="000005A4" w:rsidRDefault="00FA651F" w:rsidP="00FA651F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FA65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Empiric therapy</w:t>
            </w:r>
            <w:r w:rsidR="004F2E40" w:rsidRPr="00FA65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0005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for </w:t>
            </w:r>
            <w:r w:rsidR="000E70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presumptive </w:t>
            </w:r>
            <w:r w:rsidR="000005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catheter-related</w:t>
            </w:r>
          </w:p>
          <w:p w:rsidR="000005A4" w:rsidRPr="00FA651F" w:rsidRDefault="000005A4" w:rsidP="00FA651F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Gram-positive cocci on blood culture</w:t>
            </w:r>
          </w:p>
        </w:tc>
      </w:tr>
      <w:tr w:rsidR="00032B6D" w:rsidRPr="00E42BD5" w:rsidTr="00F027C7">
        <w:trPr>
          <w:trHeight w:val="253"/>
          <w:jc w:val="center"/>
        </w:trPr>
        <w:tc>
          <w:tcPr>
            <w:tcW w:w="2988" w:type="dxa"/>
            <w:shd w:val="clear" w:color="auto" w:fill="FCEBE0"/>
          </w:tcPr>
          <w:p w:rsidR="00032B6D" w:rsidRPr="0052626E" w:rsidRDefault="00032B6D" w:rsidP="004F2E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CNS/Meningitis</w:t>
            </w:r>
          </w:p>
        </w:tc>
        <w:tc>
          <w:tcPr>
            <w:tcW w:w="11340" w:type="dxa"/>
            <w:shd w:val="clear" w:color="auto" w:fill="FCEBE0"/>
          </w:tcPr>
          <w:p w:rsidR="00032B6D" w:rsidRPr="00FA651F" w:rsidRDefault="00032B6D" w:rsidP="00FA651F">
            <w:pPr>
              <w:pStyle w:val="ListParagraph"/>
              <w:numPr>
                <w:ilvl w:val="0"/>
                <w:numId w:val="3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65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Empiric therapy</w:t>
            </w:r>
          </w:p>
        </w:tc>
      </w:tr>
      <w:tr w:rsidR="004F2E40" w:rsidRPr="00E42BD5" w:rsidTr="00F027C7">
        <w:trPr>
          <w:trHeight w:val="268"/>
          <w:jc w:val="center"/>
        </w:trPr>
        <w:tc>
          <w:tcPr>
            <w:tcW w:w="2988" w:type="dxa"/>
            <w:shd w:val="clear" w:color="auto" w:fill="FBE4D5" w:themeFill="accent2" w:themeFillTint="33"/>
          </w:tcPr>
          <w:p w:rsidR="004F2E40" w:rsidRPr="0052626E" w:rsidRDefault="004F2E40" w:rsidP="00D51BCC">
            <w:pPr>
              <w:rPr>
                <w:rFonts w:ascii="Arial" w:hAnsi="Arial" w:cs="Arial"/>
                <w:b/>
                <w:bCs/>
              </w:rPr>
            </w:pPr>
            <w:r w:rsidRPr="0052626E">
              <w:rPr>
                <w:rFonts w:ascii="Arial" w:hAnsi="Arial" w:cs="Arial"/>
                <w:b/>
                <w:bCs/>
              </w:rPr>
              <w:t>Febrile neutropenia</w:t>
            </w:r>
          </w:p>
        </w:tc>
        <w:tc>
          <w:tcPr>
            <w:tcW w:w="11340" w:type="dxa"/>
            <w:shd w:val="clear" w:color="auto" w:fill="FBE4D5" w:themeFill="accent2" w:themeFillTint="33"/>
          </w:tcPr>
          <w:p w:rsidR="00FA651F" w:rsidRDefault="004F2E40" w:rsidP="00900DF3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651F">
              <w:rPr>
                <w:rFonts w:ascii="Arial" w:hAnsi="Arial" w:cs="Arial"/>
                <w:bCs/>
                <w:iCs/>
                <w:sz w:val="20"/>
                <w:szCs w:val="20"/>
              </w:rPr>
              <w:t>High risk (refer to NCCN or IDSA guidelines for full list of criteria) with severe cephalosporin allergy</w:t>
            </w:r>
          </w:p>
          <w:p w:rsidR="004F2E40" w:rsidRPr="009D2893" w:rsidRDefault="00FA651F" w:rsidP="00D51BCC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A651F">
              <w:rPr>
                <w:rFonts w:ascii="Arial" w:hAnsi="Arial" w:cs="Arial"/>
                <w:bCs/>
                <w:iCs/>
                <w:sz w:val="20"/>
                <w:szCs w:val="20"/>
              </w:rPr>
              <w:t>S</w:t>
            </w:r>
            <w:r w:rsidR="004F2E40" w:rsidRPr="00FA651F">
              <w:rPr>
                <w:rFonts w:ascii="Arial" w:hAnsi="Arial" w:cs="Arial"/>
                <w:bCs/>
                <w:sz w:val="20"/>
                <w:szCs w:val="20"/>
              </w:rPr>
              <w:t>uspected serious catheter-related infection (e.g., chills or rigors with infusion through catheter and cellulitis around catheter site), skin/soft tissue infection, pneumonia, hemodynamic instability, blood culture with Gram-positive cocci, or previous MRSA infection or colonization</w:t>
            </w:r>
          </w:p>
        </w:tc>
      </w:tr>
      <w:tr w:rsidR="004F2E40" w:rsidRPr="00E42BD5" w:rsidTr="00F027C7">
        <w:trPr>
          <w:trHeight w:val="323"/>
          <w:jc w:val="center"/>
        </w:trPr>
        <w:tc>
          <w:tcPr>
            <w:tcW w:w="2988" w:type="dxa"/>
          </w:tcPr>
          <w:p w:rsidR="004F2E40" w:rsidRPr="009D2893" w:rsidRDefault="004F2E40" w:rsidP="009D2893">
            <w:pPr>
              <w:rPr>
                <w:rFonts w:ascii="Arial" w:hAnsi="Arial" w:cs="Arial"/>
                <w:b/>
                <w:bCs/>
              </w:rPr>
            </w:pPr>
            <w:r w:rsidRPr="0052626E">
              <w:rPr>
                <w:rFonts w:ascii="Arial" w:hAnsi="Arial" w:cs="Arial"/>
                <w:b/>
                <w:bCs/>
              </w:rPr>
              <w:t>Intra-abdominal infection</w:t>
            </w:r>
          </w:p>
        </w:tc>
        <w:tc>
          <w:tcPr>
            <w:tcW w:w="11340" w:type="dxa"/>
          </w:tcPr>
          <w:p w:rsidR="004F2E40" w:rsidRPr="00F027C7" w:rsidRDefault="000E706D" w:rsidP="004F2E40">
            <w:pPr>
              <w:pStyle w:val="ListParagraph"/>
              <w:widowControl/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Arial" w:eastAsia="Times New Roman" w:hAnsi="Arial" w:cs="Arial"/>
                <w:iCs/>
                <w:color w:val="000000"/>
                <w:w w:val="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iCs/>
                <w:color w:val="000000"/>
                <w:w w:val="0"/>
                <w:sz w:val="20"/>
                <w:szCs w:val="18"/>
              </w:rPr>
              <w:t>H</w:t>
            </w:r>
            <w:r w:rsidR="004F2E40" w:rsidRPr="00FA651F">
              <w:rPr>
                <w:rFonts w:ascii="Arial" w:eastAsia="Times New Roman" w:hAnsi="Arial" w:cs="Arial"/>
                <w:iCs/>
                <w:color w:val="000000"/>
                <w:w w:val="0"/>
                <w:sz w:val="20"/>
                <w:szCs w:val="18"/>
              </w:rPr>
              <w:t>ealthcare-associated infection</w:t>
            </w:r>
          </w:p>
        </w:tc>
      </w:tr>
      <w:tr w:rsidR="004F2E40" w:rsidRPr="00E42BD5" w:rsidTr="00F027C7">
        <w:trPr>
          <w:trHeight w:val="253"/>
          <w:jc w:val="center"/>
        </w:trPr>
        <w:tc>
          <w:tcPr>
            <w:tcW w:w="2988" w:type="dxa"/>
            <w:shd w:val="clear" w:color="auto" w:fill="FBE4D5" w:themeFill="accent2" w:themeFillTint="33"/>
          </w:tcPr>
          <w:p w:rsidR="004F2E40" w:rsidRPr="0052626E" w:rsidRDefault="004F2E40" w:rsidP="00D51BC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Pneumonia</w:t>
            </w:r>
          </w:p>
        </w:tc>
        <w:tc>
          <w:tcPr>
            <w:tcW w:w="11340" w:type="dxa"/>
            <w:shd w:val="clear" w:color="auto" w:fill="FBE4D5" w:themeFill="accent2" w:themeFillTint="33"/>
          </w:tcPr>
          <w:p w:rsidR="004F2E40" w:rsidRPr="00F027C7" w:rsidRDefault="004F2E40" w:rsidP="000703B0">
            <w:pPr>
              <w:ind w:left="256" w:hanging="25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27C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Community-acquired </w:t>
            </w:r>
            <w:r w:rsidR="00FA651F" w:rsidRPr="00F027C7">
              <w:rPr>
                <w:rFonts w:ascii="Arial" w:hAnsi="Arial" w:cs="Arial"/>
                <w:i/>
                <w:iCs/>
                <w:sz w:val="20"/>
                <w:szCs w:val="20"/>
              </w:rPr>
              <w:t>(CAP)</w:t>
            </w:r>
          </w:p>
          <w:p w:rsidR="004F2E40" w:rsidRDefault="004F2E40" w:rsidP="004F2E4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F2E40">
              <w:rPr>
                <w:rFonts w:ascii="Arial" w:hAnsi="Arial" w:cs="Arial"/>
                <w:sz w:val="20"/>
                <w:szCs w:val="20"/>
              </w:rPr>
              <w:t>evere CAP</w:t>
            </w:r>
            <w:r w:rsidR="00FA651F">
              <w:rPr>
                <w:rFonts w:ascii="Arial" w:hAnsi="Arial" w:cs="Arial"/>
                <w:sz w:val="20"/>
                <w:szCs w:val="20"/>
              </w:rPr>
              <w:t xml:space="preserve"> (e.g., admitted to ICU)</w:t>
            </w:r>
            <w:r w:rsidRPr="004F2E40">
              <w:rPr>
                <w:rFonts w:ascii="Arial" w:hAnsi="Arial" w:cs="Arial"/>
                <w:sz w:val="20"/>
                <w:szCs w:val="20"/>
              </w:rPr>
              <w:t xml:space="preserve"> PLUS patient has been hospitalized and received IV antibiotics within the prior 90 days</w:t>
            </w:r>
          </w:p>
          <w:p w:rsidR="004F2E40" w:rsidRDefault="004F2E40" w:rsidP="004F2E4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Prior respiratory isolation of MRSA</w:t>
            </w:r>
          </w:p>
          <w:p w:rsidR="004F2E40" w:rsidRPr="00F027C7" w:rsidRDefault="004F2E40" w:rsidP="004F2E40">
            <w:pPr>
              <w:rPr>
                <w:rFonts w:ascii="Arial" w:hAnsi="Arial" w:cs="Arial"/>
                <w:sz w:val="10"/>
                <w:szCs w:val="10"/>
              </w:rPr>
            </w:pPr>
          </w:p>
          <w:p w:rsidR="004F2E40" w:rsidRPr="00F027C7" w:rsidRDefault="00A025C8" w:rsidP="00A025C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27C7">
              <w:rPr>
                <w:rFonts w:ascii="Arial" w:hAnsi="Arial" w:cs="Arial"/>
                <w:i/>
                <w:iCs/>
                <w:sz w:val="20"/>
                <w:szCs w:val="20"/>
              </w:rPr>
              <w:t>Hospital-acquired</w:t>
            </w:r>
            <w:r w:rsidR="00FA651F" w:rsidRPr="00F027C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(HAP)</w:t>
            </w:r>
            <w:r w:rsidRPr="00F027C7">
              <w:rPr>
                <w:rFonts w:ascii="Arial" w:hAnsi="Arial" w:cs="Arial"/>
                <w:i/>
                <w:iCs/>
                <w:sz w:val="20"/>
                <w:szCs w:val="20"/>
              </w:rPr>
              <w:t>/ventilator-associated</w:t>
            </w:r>
            <w:r w:rsidR="00FA651F" w:rsidRPr="00F027C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(VAP)</w:t>
            </w:r>
          </w:p>
          <w:p w:rsidR="00A025C8" w:rsidRDefault="00A025C8" w:rsidP="00A025C8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Prior respiratory isolation with MRSA </w:t>
            </w:r>
          </w:p>
          <w:p w:rsidR="00A025C8" w:rsidRDefault="00A025C8" w:rsidP="00A025C8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Empyema</w:t>
            </w:r>
          </w:p>
          <w:p w:rsidR="00A025C8" w:rsidRDefault="00A025C8" w:rsidP="00A025C8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 factors for resistance or mortality:</w:t>
            </w:r>
          </w:p>
          <w:p w:rsidR="00A025C8" w:rsidRPr="00A025C8" w:rsidRDefault="00A025C8" w:rsidP="00A025C8">
            <w:pPr>
              <w:pStyle w:val="ListParagraph"/>
              <w:numPr>
                <w:ilvl w:val="1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025C8">
              <w:rPr>
                <w:rFonts w:ascii="Arial" w:hAnsi="Arial" w:cs="Arial"/>
                <w:b/>
                <w:i/>
                <w:sz w:val="20"/>
              </w:rPr>
              <w:t>HAP:</w:t>
            </w:r>
            <w:r w:rsidRPr="00A025C8">
              <w:rPr>
                <w:rFonts w:ascii="Arial" w:hAnsi="Arial" w:cs="Arial"/>
                <w:i/>
                <w:sz w:val="20"/>
              </w:rPr>
              <w:t xml:space="preserve"> mechanical ventilation, septic shock, IV antibiotics within 90 days</w:t>
            </w:r>
            <w:r w:rsidRPr="00A025C8">
              <w:rPr>
                <w:rFonts w:ascii="Arial" w:hAnsi="Arial" w:cs="Arial"/>
                <w:sz w:val="20"/>
              </w:rPr>
              <w:t xml:space="preserve"> </w:t>
            </w:r>
          </w:p>
          <w:p w:rsidR="004F2E40" w:rsidRPr="009D2893" w:rsidRDefault="00A025C8" w:rsidP="009D2893">
            <w:pPr>
              <w:pStyle w:val="ListParagraph"/>
              <w:numPr>
                <w:ilvl w:val="1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A025C8">
              <w:rPr>
                <w:rFonts w:ascii="Arial" w:hAnsi="Arial" w:cs="Arial"/>
                <w:b/>
                <w:i/>
                <w:sz w:val="20"/>
              </w:rPr>
              <w:t>VAP:</w:t>
            </w:r>
            <w:r w:rsidRPr="00A025C8">
              <w:rPr>
                <w:rFonts w:ascii="Arial" w:hAnsi="Arial" w:cs="Arial"/>
                <w:i/>
                <w:sz w:val="20"/>
              </w:rPr>
              <w:t xml:space="preserve"> acute respiratory distress syndrome prior to VAP, septic shock at time of VAP, IV antibiotics within 90 days, acute renal replacement therapy prior to VAP, </w:t>
            </w:r>
            <w:r w:rsidRPr="00A025C8">
              <w:rPr>
                <w:rFonts w:ascii="Arial" w:hAnsi="Arial" w:cs="Arial"/>
                <w:i/>
                <w:sz w:val="20"/>
                <w:u w:val="single"/>
              </w:rPr>
              <w:t>&gt;</w:t>
            </w:r>
            <w:r w:rsidRPr="00A025C8">
              <w:rPr>
                <w:rFonts w:ascii="Arial" w:hAnsi="Arial" w:cs="Arial"/>
                <w:i/>
                <w:sz w:val="20"/>
              </w:rPr>
              <w:t xml:space="preserve"> 5 days in hospital prior to VAP</w:t>
            </w:r>
          </w:p>
        </w:tc>
      </w:tr>
      <w:tr w:rsidR="004F2E40" w:rsidRPr="00E42BD5" w:rsidTr="00F027C7">
        <w:trPr>
          <w:trHeight w:val="1304"/>
          <w:jc w:val="center"/>
        </w:trPr>
        <w:tc>
          <w:tcPr>
            <w:tcW w:w="2988" w:type="dxa"/>
          </w:tcPr>
          <w:p w:rsidR="004F2E40" w:rsidRDefault="00FA651F" w:rsidP="005D1F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Skin and soft tissue infection (</w:t>
            </w:r>
            <w:r w:rsidR="00A025C8">
              <w:rPr>
                <w:rFonts w:ascii="Arial" w:hAnsi="Arial" w:cs="Arial"/>
                <w:b/>
                <w:bCs/>
              </w:rPr>
              <w:t>SSTI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  <w:p w:rsidR="004F2E40" w:rsidRPr="00E42BD5" w:rsidRDefault="004F2E40" w:rsidP="005D1F30">
            <w:pPr>
              <w:rPr>
                <w:rFonts w:ascii="Arial" w:hAnsi="Arial" w:cs="Arial"/>
              </w:rPr>
            </w:pPr>
          </w:p>
        </w:tc>
        <w:tc>
          <w:tcPr>
            <w:tcW w:w="11340" w:type="dxa"/>
          </w:tcPr>
          <w:p w:rsidR="00A025C8" w:rsidRDefault="004F2E40" w:rsidP="00112C0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025C8">
              <w:rPr>
                <w:rFonts w:ascii="Arial" w:hAnsi="Arial" w:cs="Arial"/>
                <w:bCs/>
                <w:iCs/>
                <w:sz w:val="20"/>
                <w:szCs w:val="20"/>
              </w:rPr>
              <w:t>Severe</w:t>
            </w:r>
            <w:r w:rsidR="00A025C8" w:rsidRPr="00A025C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purulent infection or presence of abscess</w:t>
            </w:r>
            <w:r w:rsidRPr="00A025C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:rsidR="00A025C8" w:rsidRPr="00A025C8" w:rsidRDefault="00A025C8" w:rsidP="00112C0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proofErr w:type="spellStart"/>
            <w:r w:rsidRPr="00A025C8">
              <w:rPr>
                <w:rFonts w:ascii="Arial" w:hAnsi="Arial" w:cs="Arial"/>
                <w:sz w:val="20"/>
                <w:szCs w:val="20"/>
              </w:rPr>
              <w:t>Nonpurulent</w:t>
            </w:r>
            <w:proofErr w:type="spellEnd"/>
            <w:r w:rsidRPr="00A025C8">
              <w:rPr>
                <w:rFonts w:ascii="Arial" w:hAnsi="Arial" w:cs="Arial"/>
                <w:sz w:val="20"/>
                <w:szCs w:val="20"/>
              </w:rPr>
              <w:t xml:space="preserve"> infection with </w:t>
            </w:r>
            <w:r>
              <w:rPr>
                <w:rFonts w:ascii="Arial" w:hAnsi="Arial" w:cs="Arial"/>
                <w:sz w:val="20"/>
                <w:szCs w:val="20"/>
              </w:rPr>
              <w:t>one of the following:</w:t>
            </w:r>
          </w:p>
          <w:p w:rsidR="00A025C8" w:rsidRPr="00A025C8" w:rsidRDefault="00A025C8" w:rsidP="00A025C8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A025C8">
              <w:rPr>
                <w:rFonts w:ascii="Arial" w:hAnsi="Arial" w:cs="Arial"/>
                <w:sz w:val="20"/>
                <w:szCs w:val="20"/>
              </w:rPr>
              <w:t xml:space="preserve">evere cephalosporin allergy </w:t>
            </w:r>
          </w:p>
          <w:p w:rsidR="00A025C8" w:rsidRPr="00A025C8" w:rsidRDefault="00A025C8" w:rsidP="00A025C8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025C8">
              <w:rPr>
                <w:rFonts w:ascii="Arial" w:hAnsi="Arial" w:cs="Arial"/>
                <w:sz w:val="20"/>
                <w:szCs w:val="20"/>
              </w:rPr>
              <w:t>MRSA risk (penetrating trauma, MRSA infection elsewhere or nasal colonization, injection drug use, severely immunocompromised)</w:t>
            </w:r>
          </w:p>
          <w:p w:rsidR="00A025C8" w:rsidRPr="00A025C8" w:rsidRDefault="00A025C8" w:rsidP="00A025C8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Necrotizing fasciitis </w:t>
            </w:r>
          </w:p>
          <w:p w:rsidR="00782828" w:rsidRPr="009D2893" w:rsidRDefault="00A025C8" w:rsidP="009D2893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ICU admission for SSTI</w:t>
            </w:r>
          </w:p>
        </w:tc>
      </w:tr>
      <w:tr w:rsidR="004F2E40" w:rsidRPr="00E42BD5" w:rsidTr="00F027C7">
        <w:trPr>
          <w:trHeight w:val="458"/>
          <w:jc w:val="center"/>
        </w:trPr>
        <w:tc>
          <w:tcPr>
            <w:tcW w:w="2988" w:type="dxa"/>
            <w:shd w:val="clear" w:color="auto" w:fill="FBE4D5" w:themeFill="accent2" w:themeFillTint="33"/>
          </w:tcPr>
          <w:p w:rsidR="004F2E40" w:rsidRPr="0052626E" w:rsidRDefault="00782828" w:rsidP="005D1F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Diabetic Foot Infection (</w:t>
            </w:r>
            <w:r w:rsidR="004F2E40" w:rsidRPr="0052626E">
              <w:rPr>
                <w:rFonts w:ascii="Arial" w:hAnsi="Arial" w:cs="Arial"/>
                <w:b/>
                <w:bCs/>
              </w:rPr>
              <w:t>DFI</w:t>
            </w:r>
            <w:r>
              <w:rPr>
                <w:rFonts w:ascii="Arial" w:hAnsi="Arial" w:cs="Arial"/>
                <w:b/>
                <w:bCs/>
              </w:rPr>
              <w:t>)</w:t>
            </w:r>
            <w:r w:rsidR="004F2E40" w:rsidRPr="0052626E">
              <w:rPr>
                <w:rFonts w:ascii="Arial" w:hAnsi="Arial" w:cs="Arial"/>
                <w:b/>
                <w:bCs/>
              </w:rPr>
              <w:t xml:space="preserve"> or Chronic Wound </w:t>
            </w:r>
          </w:p>
          <w:p w:rsidR="004F2E40" w:rsidRPr="00E42BD5" w:rsidRDefault="004F2E40" w:rsidP="001A4EB7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1340" w:type="dxa"/>
            <w:shd w:val="clear" w:color="auto" w:fill="FBE4D5" w:themeFill="accent2" w:themeFillTint="33"/>
            <w:tcMar>
              <w:left w:w="115" w:type="dxa"/>
              <w:right w:w="29" w:type="dxa"/>
            </w:tcMar>
          </w:tcPr>
          <w:p w:rsidR="009D2893" w:rsidRDefault="009D2893" w:rsidP="00093875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Any indications listed within SSTI section</w:t>
            </w:r>
          </w:p>
          <w:p w:rsidR="004F2E40" w:rsidRDefault="000E706D" w:rsidP="00093875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</w:t>
            </w:r>
            <w:r w:rsidR="004F2E40" w:rsidRPr="0009387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evere or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c</w:t>
            </w:r>
            <w:r w:rsidR="004F2E40" w:rsidRPr="00093875">
              <w:rPr>
                <w:rFonts w:ascii="Arial" w:hAnsi="Arial" w:cs="Arial"/>
                <w:bCs/>
                <w:iCs/>
                <w:sz w:val="20"/>
                <w:szCs w:val="20"/>
              </w:rPr>
              <w:t>hronic-moderate with risk factors for multidrug-resistance</w:t>
            </w:r>
            <w:r w:rsidR="009D289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(IDSA classification definitions listed below)</w:t>
            </w:r>
          </w:p>
          <w:p w:rsidR="009D2893" w:rsidRPr="009D2893" w:rsidRDefault="009D2893" w:rsidP="005756BA">
            <w:pPr>
              <w:pStyle w:val="ListParagraph"/>
              <w:numPr>
                <w:ilvl w:val="1"/>
                <w:numId w:val="41"/>
              </w:numPr>
              <w:ind w:left="856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D289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Mild: </w:t>
            </w:r>
            <w:r w:rsidR="005756BA">
              <w:rPr>
                <w:rFonts w:ascii="Arial" w:hAnsi="Arial" w:cs="Arial"/>
                <w:bCs/>
                <w:iCs/>
                <w:sz w:val="20"/>
                <w:szCs w:val="20"/>
              </w:rPr>
              <w:t>s</w:t>
            </w:r>
            <w:r w:rsidRPr="009D289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uperficial and limited in size &amp; depth </w:t>
            </w:r>
          </w:p>
          <w:p w:rsidR="009D2893" w:rsidRPr="009D2893" w:rsidRDefault="009D2893" w:rsidP="005756BA">
            <w:pPr>
              <w:pStyle w:val="ListParagraph"/>
              <w:numPr>
                <w:ilvl w:val="1"/>
                <w:numId w:val="41"/>
              </w:numPr>
              <w:ind w:left="856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D289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Moderate: </w:t>
            </w:r>
            <w:r w:rsidR="005756BA">
              <w:rPr>
                <w:rFonts w:ascii="Arial" w:hAnsi="Arial" w:cs="Arial"/>
                <w:bCs/>
                <w:iCs/>
                <w:sz w:val="20"/>
                <w:szCs w:val="20"/>
              </w:rPr>
              <w:t>d</w:t>
            </w:r>
            <w:r w:rsidRPr="009D2893">
              <w:rPr>
                <w:rFonts w:ascii="Arial" w:hAnsi="Arial" w:cs="Arial"/>
                <w:bCs/>
                <w:iCs/>
                <w:sz w:val="20"/>
                <w:szCs w:val="20"/>
              </w:rPr>
              <w:t>eeper than skin &amp; subcutaneous tissues</w:t>
            </w:r>
            <w:r w:rsidR="005756BA">
              <w:rPr>
                <w:rFonts w:ascii="Arial" w:hAnsi="Arial" w:cs="Arial"/>
                <w:bCs/>
                <w:iCs/>
                <w:sz w:val="20"/>
                <w:szCs w:val="20"/>
              </w:rPr>
              <w:t>,</w:t>
            </w:r>
            <w:r w:rsidRPr="009D289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no signs of systemic inflammatory response syndrome</w:t>
            </w:r>
            <w:r w:rsidR="005756B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9D2893">
              <w:rPr>
                <w:rFonts w:ascii="Arial" w:hAnsi="Arial" w:cs="Arial"/>
                <w:bCs/>
                <w:iCs/>
                <w:sz w:val="20"/>
                <w:szCs w:val="20"/>
              </w:rPr>
              <w:t>(SIRS)</w:t>
            </w:r>
          </w:p>
          <w:p w:rsidR="009D2893" w:rsidRPr="005756BA" w:rsidRDefault="009D2893" w:rsidP="005756BA">
            <w:pPr>
              <w:pStyle w:val="ListParagraph"/>
              <w:numPr>
                <w:ilvl w:val="1"/>
                <w:numId w:val="41"/>
              </w:numPr>
              <w:ind w:left="856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D289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Severe: </w:t>
            </w:r>
            <w:r w:rsidR="005756BA">
              <w:rPr>
                <w:rFonts w:ascii="Arial" w:hAnsi="Arial" w:cs="Arial"/>
                <w:bCs/>
                <w:iCs/>
                <w:sz w:val="20"/>
                <w:szCs w:val="20"/>
              </w:rPr>
              <w:t>s</w:t>
            </w:r>
            <w:r w:rsidRPr="009D2893">
              <w:rPr>
                <w:rFonts w:ascii="Arial" w:hAnsi="Arial" w:cs="Arial"/>
                <w:bCs/>
                <w:iCs/>
                <w:sz w:val="20"/>
                <w:szCs w:val="20"/>
              </w:rPr>
              <w:t>ystemic inflammatory response syndrome (SIRS) OR presence of ischemia</w:t>
            </w:r>
          </w:p>
          <w:p w:rsidR="00A025C8" w:rsidRPr="00093875" w:rsidRDefault="000E706D" w:rsidP="00093875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ICU</w:t>
            </w:r>
            <w:r w:rsidR="00A025C8" w:rsidRPr="0009387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admission for DFI or chronic wound</w:t>
            </w:r>
          </w:p>
        </w:tc>
      </w:tr>
      <w:tr w:rsidR="008579D1" w:rsidRPr="00E42BD5" w:rsidTr="00F027C7">
        <w:trPr>
          <w:trHeight w:val="268"/>
          <w:jc w:val="center"/>
        </w:trPr>
        <w:tc>
          <w:tcPr>
            <w:tcW w:w="2988" w:type="dxa"/>
          </w:tcPr>
          <w:p w:rsidR="008579D1" w:rsidRDefault="008579D1" w:rsidP="005D1F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Surgical Prophylaxis</w:t>
            </w:r>
          </w:p>
        </w:tc>
        <w:tc>
          <w:tcPr>
            <w:tcW w:w="11340" w:type="dxa"/>
          </w:tcPr>
          <w:p w:rsidR="008579D1" w:rsidRDefault="008579D1" w:rsidP="00093875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Severe cephalosporin allergy depending on indication (Refer to Cardinal Health ADULT Surgical Prophylaxis Peri-operative Guideline for more information)</w:t>
            </w:r>
          </w:p>
          <w:p w:rsidR="008579D1" w:rsidRPr="00093875" w:rsidRDefault="00F01604" w:rsidP="00093875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Cardiac, vascular, orthopedic, or neurosurgery cases in patients with known colonization with MRSA</w:t>
            </w:r>
          </w:p>
        </w:tc>
      </w:tr>
      <w:tr w:rsidR="00A025C8" w:rsidRPr="00E42BD5" w:rsidTr="00F027C7">
        <w:trPr>
          <w:trHeight w:val="268"/>
          <w:jc w:val="center"/>
        </w:trPr>
        <w:tc>
          <w:tcPr>
            <w:tcW w:w="2988" w:type="dxa"/>
          </w:tcPr>
          <w:p w:rsidR="00A025C8" w:rsidRPr="0052626E" w:rsidRDefault="00A025C8" w:rsidP="005D1F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UTI</w:t>
            </w:r>
          </w:p>
        </w:tc>
        <w:tc>
          <w:tcPr>
            <w:tcW w:w="11340" w:type="dxa"/>
          </w:tcPr>
          <w:p w:rsidR="00A025C8" w:rsidRPr="00093875" w:rsidRDefault="00A025C8" w:rsidP="00093875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93875">
              <w:rPr>
                <w:rFonts w:ascii="Arial" w:hAnsi="Arial" w:cs="Arial"/>
                <w:iCs/>
                <w:sz w:val="20"/>
                <w:szCs w:val="20"/>
              </w:rPr>
              <w:t xml:space="preserve">Infection due to </w:t>
            </w:r>
            <w:r w:rsidR="00782828" w:rsidRPr="009D2893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9D2893">
              <w:rPr>
                <w:rFonts w:ascii="Arial" w:hAnsi="Arial" w:cs="Arial"/>
                <w:i/>
                <w:iCs/>
                <w:sz w:val="20"/>
                <w:szCs w:val="20"/>
              </w:rPr>
              <w:t>nterococcus</w:t>
            </w:r>
            <w:r w:rsidR="00504A9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504A93" w:rsidRPr="00504A93">
              <w:rPr>
                <w:rFonts w:ascii="Arial" w:hAnsi="Arial" w:cs="Arial"/>
                <w:sz w:val="20"/>
                <w:szCs w:val="20"/>
              </w:rPr>
              <w:t>spp</w:t>
            </w:r>
            <w:r w:rsidR="00504A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891264" w:rsidRDefault="003F4AD6">
      <w:pPr>
        <w:rPr>
          <w:sz w:val="20"/>
          <w:szCs w:val="21"/>
        </w:rPr>
      </w:pPr>
      <w:r>
        <w:rPr>
          <w:color w:val="000000"/>
          <w:sz w:val="20"/>
          <w:szCs w:val="21"/>
        </w:rPr>
        <w:t xml:space="preserve">NOTE: </w:t>
      </w:r>
      <w:r w:rsidR="00D71C63" w:rsidRPr="00D71C63">
        <w:rPr>
          <w:sz w:val="20"/>
          <w:szCs w:val="21"/>
        </w:rPr>
        <w:t>For p</w:t>
      </w:r>
      <w:r w:rsidR="00D71C63" w:rsidRPr="00D71C63">
        <w:rPr>
          <w:color w:val="000000"/>
          <w:sz w:val="20"/>
          <w:szCs w:val="21"/>
        </w:rPr>
        <w:t>atients with a reported beta-lactam allergy, an assessment should be performed. Due to low cross reactivity with penicillin (&lt; 1-2%), a c</w:t>
      </w:r>
      <w:r w:rsidR="00D71C63" w:rsidRPr="00D71C63">
        <w:rPr>
          <w:sz w:val="20"/>
          <w:szCs w:val="21"/>
        </w:rPr>
        <w:t>ephalosporin with a dissimilar side chain should be considered</w:t>
      </w:r>
      <w:r w:rsidR="00782828">
        <w:rPr>
          <w:sz w:val="20"/>
          <w:szCs w:val="21"/>
        </w:rPr>
        <w:t xml:space="preserve"> based on coverage needs and formulary availability</w:t>
      </w:r>
      <w:r w:rsidR="00D71C63" w:rsidRPr="00D71C63">
        <w:rPr>
          <w:sz w:val="20"/>
          <w:szCs w:val="21"/>
        </w:rPr>
        <w:t>, such as: cefazolin, cefuroxime, cefpodoxime, ceftriaxone, cefepime.</w:t>
      </w:r>
    </w:p>
    <w:p w:rsidR="008579D1" w:rsidRDefault="008579D1">
      <w:pPr>
        <w:rPr>
          <w:sz w:val="20"/>
          <w:szCs w:val="21"/>
        </w:rPr>
      </w:pPr>
    </w:p>
    <w:p w:rsidR="008579D1" w:rsidRDefault="008579D1">
      <w:pPr>
        <w:rPr>
          <w:b/>
          <w:bCs/>
        </w:rPr>
      </w:pPr>
    </w:p>
    <w:p w:rsidR="008579D1" w:rsidRPr="00CC2982" w:rsidRDefault="008579D1">
      <w:pPr>
        <w:rPr>
          <w:rFonts w:ascii="Arial" w:hAnsi="Arial" w:cs="Arial"/>
          <w:b/>
          <w:bCs/>
          <w:sz w:val="24"/>
          <w:szCs w:val="24"/>
        </w:rPr>
      </w:pPr>
      <w:r w:rsidRPr="00CC2982">
        <w:rPr>
          <w:rFonts w:ascii="Arial" w:hAnsi="Arial" w:cs="Arial"/>
          <w:b/>
          <w:bCs/>
          <w:sz w:val="24"/>
          <w:szCs w:val="24"/>
        </w:rPr>
        <w:t>References</w:t>
      </w:r>
    </w:p>
    <w:p w:rsidR="00F027C7" w:rsidRPr="00F027C7" w:rsidRDefault="00A67B31" w:rsidP="00F027C7">
      <w:pPr>
        <w:widowControl/>
        <w:numPr>
          <w:ilvl w:val="0"/>
          <w:numId w:val="44"/>
        </w:numPr>
        <w:autoSpaceDE w:val="0"/>
        <w:autoSpaceDN w:val="0"/>
        <w:adjustRightInd w:val="0"/>
        <w:snapToGrid w:val="0"/>
        <w:spacing w:after="120"/>
        <w:jc w:val="both"/>
        <w:rPr>
          <w:rFonts w:ascii="Arial" w:hAnsi="Arial" w:cs="Arial"/>
        </w:rPr>
      </w:pPr>
      <w:hyperlink r:id="rId10" w:history="1">
        <w:proofErr w:type="spellStart"/>
        <w:r w:rsidR="00F027C7" w:rsidRPr="00F027C7">
          <w:rPr>
            <w:rStyle w:val="Hyperlink"/>
            <w:rFonts w:ascii="Arial" w:hAnsi="Arial" w:cs="Arial"/>
            <w:color w:val="auto"/>
            <w:u w:val="none"/>
          </w:rPr>
          <w:t>Bratzler</w:t>
        </w:r>
        <w:proofErr w:type="spellEnd"/>
        <w:r w:rsidR="00F027C7" w:rsidRPr="00F027C7">
          <w:rPr>
            <w:rStyle w:val="Hyperlink"/>
            <w:rFonts w:ascii="Arial" w:hAnsi="Arial" w:cs="Arial"/>
            <w:color w:val="auto"/>
            <w:u w:val="none"/>
          </w:rPr>
          <w:t xml:space="preserve"> DW</w:t>
        </w:r>
      </w:hyperlink>
      <w:r w:rsidR="00F027C7" w:rsidRPr="00F027C7">
        <w:rPr>
          <w:rFonts w:ascii="Arial" w:hAnsi="Arial" w:cs="Arial"/>
        </w:rPr>
        <w:t xml:space="preserve">, </w:t>
      </w:r>
      <w:hyperlink r:id="rId11" w:history="1">
        <w:r w:rsidR="00F027C7" w:rsidRPr="00F027C7">
          <w:rPr>
            <w:rStyle w:val="Hyperlink"/>
            <w:rFonts w:ascii="Arial" w:hAnsi="Arial" w:cs="Arial"/>
            <w:color w:val="auto"/>
            <w:u w:val="none"/>
          </w:rPr>
          <w:t>Dellinger EP</w:t>
        </w:r>
      </w:hyperlink>
      <w:r w:rsidR="00F027C7" w:rsidRPr="00F027C7">
        <w:rPr>
          <w:rFonts w:ascii="Arial" w:hAnsi="Arial" w:cs="Arial"/>
        </w:rPr>
        <w:t xml:space="preserve">, </w:t>
      </w:r>
      <w:hyperlink r:id="rId12" w:history="1">
        <w:r w:rsidR="00F027C7" w:rsidRPr="00F027C7">
          <w:rPr>
            <w:rStyle w:val="Hyperlink"/>
            <w:rFonts w:ascii="Arial" w:hAnsi="Arial" w:cs="Arial"/>
            <w:color w:val="auto"/>
            <w:u w:val="none"/>
          </w:rPr>
          <w:t>Olsen KM</w:t>
        </w:r>
      </w:hyperlink>
      <w:r w:rsidR="00F027C7" w:rsidRPr="00F027C7">
        <w:rPr>
          <w:rFonts w:ascii="Arial" w:hAnsi="Arial" w:cs="Arial"/>
        </w:rPr>
        <w:t xml:space="preserve">, </w:t>
      </w:r>
      <w:hyperlink r:id="rId13" w:history="1">
        <w:r w:rsidR="00F027C7" w:rsidRPr="00F027C7">
          <w:rPr>
            <w:rStyle w:val="Hyperlink"/>
            <w:rFonts w:ascii="Arial" w:hAnsi="Arial" w:cs="Arial"/>
            <w:color w:val="auto"/>
            <w:u w:val="none"/>
          </w:rPr>
          <w:t>Perl TM</w:t>
        </w:r>
      </w:hyperlink>
      <w:r w:rsidR="00F027C7" w:rsidRPr="00F027C7">
        <w:rPr>
          <w:rFonts w:ascii="Arial" w:hAnsi="Arial" w:cs="Arial"/>
        </w:rPr>
        <w:t xml:space="preserve">, </w:t>
      </w:r>
      <w:hyperlink r:id="rId14" w:history="1">
        <w:proofErr w:type="spellStart"/>
        <w:r w:rsidR="00F027C7" w:rsidRPr="00F027C7">
          <w:rPr>
            <w:rStyle w:val="Hyperlink"/>
            <w:rFonts w:ascii="Arial" w:hAnsi="Arial" w:cs="Arial"/>
            <w:color w:val="auto"/>
            <w:u w:val="none"/>
          </w:rPr>
          <w:t>Auwaerter</w:t>
        </w:r>
        <w:proofErr w:type="spellEnd"/>
        <w:r w:rsidR="00F027C7" w:rsidRPr="00F027C7">
          <w:rPr>
            <w:rStyle w:val="Hyperlink"/>
            <w:rFonts w:ascii="Arial" w:hAnsi="Arial" w:cs="Arial"/>
            <w:color w:val="auto"/>
            <w:u w:val="none"/>
          </w:rPr>
          <w:t xml:space="preserve"> PG</w:t>
        </w:r>
      </w:hyperlink>
      <w:r w:rsidR="00F027C7" w:rsidRPr="00F027C7">
        <w:rPr>
          <w:rFonts w:ascii="Arial" w:hAnsi="Arial" w:cs="Arial"/>
        </w:rPr>
        <w:t xml:space="preserve">, et al. </w:t>
      </w:r>
      <w:r w:rsidR="00F027C7" w:rsidRPr="00F027C7">
        <w:rPr>
          <w:rFonts w:ascii="Arial" w:hAnsi="Arial" w:cs="Arial"/>
          <w:bCs/>
        </w:rPr>
        <w:t xml:space="preserve">Clinical practice guidelines for antimicrobial prophylaxis in surgery. </w:t>
      </w:r>
      <w:hyperlink r:id="rId15" w:tooltip="American journal of health-system pharmacy : AJHP : official journal of the American Society of Health-System Pharmacists." w:history="1">
        <w:r w:rsidR="00F027C7" w:rsidRPr="00F027C7">
          <w:rPr>
            <w:rStyle w:val="Hyperlink"/>
            <w:rFonts w:ascii="Arial" w:hAnsi="Arial" w:cs="Arial"/>
            <w:color w:val="auto"/>
            <w:u w:val="none"/>
          </w:rPr>
          <w:t>Am J Health Syst Pharm.</w:t>
        </w:r>
      </w:hyperlink>
      <w:r w:rsidR="00F027C7" w:rsidRPr="00F027C7">
        <w:rPr>
          <w:rFonts w:ascii="Arial" w:hAnsi="Arial" w:cs="Arial"/>
          <w:bCs/>
        </w:rPr>
        <w:t xml:space="preserve"> 2013 Feb 1;70(3):195-283.</w:t>
      </w:r>
    </w:p>
    <w:p w:rsidR="008579D1" w:rsidRPr="00F027C7" w:rsidRDefault="008579D1" w:rsidP="00F027C7">
      <w:pPr>
        <w:pStyle w:val="pf0"/>
        <w:numPr>
          <w:ilvl w:val="0"/>
          <w:numId w:val="44"/>
        </w:numPr>
        <w:spacing w:after="120" w:afterAutospacing="0"/>
        <w:rPr>
          <w:rFonts w:ascii="Arial" w:hAnsi="Arial" w:cs="Arial"/>
          <w:sz w:val="22"/>
          <w:szCs w:val="22"/>
        </w:rPr>
      </w:pPr>
      <w:proofErr w:type="spellStart"/>
      <w:r w:rsidRPr="00F027C7">
        <w:rPr>
          <w:rStyle w:val="cf01"/>
          <w:rFonts w:ascii="Arial" w:hAnsi="Arial" w:cs="Arial"/>
          <w:sz w:val="22"/>
          <w:szCs w:val="22"/>
        </w:rPr>
        <w:t>Freifeld</w:t>
      </w:r>
      <w:proofErr w:type="spellEnd"/>
      <w:r w:rsidRPr="00F027C7">
        <w:rPr>
          <w:rStyle w:val="cf01"/>
          <w:rFonts w:ascii="Arial" w:hAnsi="Arial" w:cs="Arial"/>
          <w:sz w:val="22"/>
          <w:szCs w:val="22"/>
        </w:rPr>
        <w:t xml:space="preserve"> AG, Bow EJ, </w:t>
      </w:r>
      <w:proofErr w:type="spellStart"/>
      <w:r w:rsidRPr="00F027C7">
        <w:rPr>
          <w:rStyle w:val="cf01"/>
          <w:rFonts w:ascii="Arial" w:hAnsi="Arial" w:cs="Arial"/>
          <w:sz w:val="22"/>
          <w:szCs w:val="22"/>
        </w:rPr>
        <w:t>Sepkowitz</w:t>
      </w:r>
      <w:proofErr w:type="spellEnd"/>
      <w:r w:rsidRPr="00F027C7">
        <w:rPr>
          <w:rStyle w:val="cf01"/>
          <w:rFonts w:ascii="Arial" w:hAnsi="Arial" w:cs="Arial"/>
          <w:sz w:val="22"/>
          <w:szCs w:val="22"/>
        </w:rPr>
        <w:t xml:space="preserve"> KA, et al. Clinical practice guideline for the use of antimicrobial agents in neutropenic patients with cancer: 2010 update by the Infectious Diseases Society of America. </w:t>
      </w:r>
      <w:r w:rsidRPr="00F027C7">
        <w:rPr>
          <w:rStyle w:val="cf11"/>
          <w:rFonts w:ascii="Arial" w:hAnsi="Arial" w:cs="Arial"/>
          <w:sz w:val="22"/>
          <w:szCs w:val="22"/>
        </w:rPr>
        <w:t>Clin Infect Dis</w:t>
      </w:r>
      <w:r w:rsidRPr="00F027C7">
        <w:rPr>
          <w:rStyle w:val="cf01"/>
          <w:rFonts w:ascii="Arial" w:hAnsi="Arial" w:cs="Arial"/>
          <w:sz w:val="22"/>
          <w:szCs w:val="22"/>
        </w:rPr>
        <w:t xml:space="preserve"> 2011;52(4):e56–e93. </w:t>
      </w:r>
    </w:p>
    <w:p w:rsidR="008579D1" w:rsidRPr="00F027C7" w:rsidRDefault="008579D1" w:rsidP="00F027C7">
      <w:pPr>
        <w:pStyle w:val="pf0"/>
        <w:numPr>
          <w:ilvl w:val="0"/>
          <w:numId w:val="44"/>
        </w:numPr>
        <w:spacing w:after="120" w:afterAutospacing="0"/>
        <w:rPr>
          <w:rStyle w:val="cf01"/>
          <w:rFonts w:ascii="Arial" w:hAnsi="Arial" w:cs="Arial"/>
          <w:sz w:val="22"/>
          <w:szCs w:val="22"/>
        </w:rPr>
      </w:pPr>
      <w:proofErr w:type="spellStart"/>
      <w:r w:rsidRPr="00F027C7">
        <w:rPr>
          <w:rStyle w:val="cf01"/>
          <w:rFonts w:ascii="Arial" w:hAnsi="Arial" w:cs="Arial"/>
          <w:sz w:val="22"/>
          <w:szCs w:val="22"/>
        </w:rPr>
        <w:t>Gomi</w:t>
      </w:r>
      <w:proofErr w:type="spellEnd"/>
      <w:r w:rsidRPr="00F027C7">
        <w:rPr>
          <w:rStyle w:val="cf01"/>
          <w:rFonts w:ascii="Arial" w:hAnsi="Arial" w:cs="Arial"/>
          <w:sz w:val="22"/>
          <w:szCs w:val="22"/>
        </w:rPr>
        <w:t xml:space="preserve"> H, </w:t>
      </w:r>
      <w:proofErr w:type="spellStart"/>
      <w:r w:rsidRPr="00F027C7">
        <w:rPr>
          <w:rStyle w:val="cf01"/>
          <w:rFonts w:ascii="Arial" w:hAnsi="Arial" w:cs="Arial"/>
          <w:sz w:val="22"/>
          <w:szCs w:val="22"/>
        </w:rPr>
        <w:t>Solomkin</w:t>
      </w:r>
      <w:proofErr w:type="spellEnd"/>
      <w:r w:rsidRPr="00F027C7">
        <w:rPr>
          <w:rStyle w:val="cf01"/>
          <w:rFonts w:ascii="Arial" w:hAnsi="Arial" w:cs="Arial"/>
          <w:sz w:val="22"/>
          <w:szCs w:val="22"/>
        </w:rPr>
        <w:t xml:space="preserve"> JS, Schlossberg D, et al. Tokyo Guidelines 2018: antimicrobial therapy for acute cholangitis and cholecystitis. J Hepatobiliary </w:t>
      </w:r>
      <w:proofErr w:type="spellStart"/>
      <w:r w:rsidRPr="00F027C7">
        <w:rPr>
          <w:rStyle w:val="cf01"/>
          <w:rFonts w:ascii="Arial" w:hAnsi="Arial" w:cs="Arial"/>
          <w:sz w:val="22"/>
          <w:szCs w:val="22"/>
        </w:rPr>
        <w:t>Pancreat</w:t>
      </w:r>
      <w:proofErr w:type="spellEnd"/>
      <w:r w:rsidRPr="00F027C7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F027C7">
        <w:rPr>
          <w:rStyle w:val="cf01"/>
          <w:rFonts w:ascii="Arial" w:hAnsi="Arial" w:cs="Arial"/>
          <w:sz w:val="22"/>
          <w:szCs w:val="22"/>
        </w:rPr>
        <w:t>Sci</w:t>
      </w:r>
      <w:proofErr w:type="spellEnd"/>
      <w:r w:rsidRPr="00F027C7">
        <w:rPr>
          <w:rStyle w:val="cf01"/>
          <w:rFonts w:ascii="Arial" w:hAnsi="Arial" w:cs="Arial"/>
          <w:sz w:val="22"/>
          <w:szCs w:val="22"/>
        </w:rPr>
        <w:t xml:space="preserve"> 2018; 25:3.</w:t>
      </w:r>
    </w:p>
    <w:p w:rsidR="008579D1" w:rsidRPr="00F027C7" w:rsidRDefault="008579D1" w:rsidP="00F027C7">
      <w:pPr>
        <w:pStyle w:val="pf0"/>
        <w:numPr>
          <w:ilvl w:val="0"/>
          <w:numId w:val="44"/>
        </w:numPr>
        <w:spacing w:after="120" w:afterAutospacing="0"/>
        <w:rPr>
          <w:rStyle w:val="cf01"/>
          <w:rFonts w:ascii="Arial" w:hAnsi="Arial" w:cs="Arial"/>
          <w:sz w:val="22"/>
          <w:szCs w:val="22"/>
        </w:rPr>
      </w:pPr>
      <w:r w:rsidRPr="00F027C7">
        <w:rPr>
          <w:rStyle w:val="cf01"/>
          <w:rFonts w:ascii="Arial" w:hAnsi="Arial" w:cs="Arial"/>
          <w:sz w:val="22"/>
          <w:szCs w:val="22"/>
        </w:rPr>
        <w:t>John E. Bennett, Raphael Dolin, Martin J. Blaser (Eds.). (2015). Mandell, Douglas, and Bennett's principles and practice of infectious diseases, 8th ed.– Eighth edition. Philadelphia, PA: Elsevier Saunders.</w:t>
      </w:r>
    </w:p>
    <w:p w:rsidR="008579D1" w:rsidRPr="00F027C7" w:rsidRDefault="008579D1" w:rsidP="00F027C7">
      <w:pPr>
        <w:pStyle w:val="pf0"/>
        <w:numPr>
          <w:ilvl w:val="0"/>
          <w:numId w:val="44"/>
        </w:numPr>
        <w:spacing w:after="120" w:afterAutospacing="0"/>
        <w:rPr>
          <w:rStyle w:val="cf01"/>
          <w:rFonts w:ascii="Arial" w:hAnsi="Arial" w:cs="Arial"/>
          <w:sz w:val="22"/>
          <w:szCs w:val="22"/>
        </w:rPr>
      </w:pPr>
      <w:proofErr w:type="spellStart"/>
      <w:r w:rsidRPr="00F027C7">
        <w:rPr>
          <w:rStyle w:val="cf01"/>
          <w:rFonts w:ascii="Arial" w:hAnsi="Arial" w:cs="Arial"/>
          <w:sz w:val="22"/>
          <w:szCs w:val="22"/>
        </w:rPr>
        <w:t>Kalil</w:t>
      </w:r>
      <w:proofErr w:type="spellEnd"/>
      <w:r w:rsidRPr="00F027C7">
        <w:rPr>
          <w:rStyle w:val="cf01"/>
          <w:rFonts w:ascii="Arial" w:hAnsi="Arial" w:cs="Arial"/>
          <w:sz w:val="22"/>
          <w:szCs w:val="22"/>
        </w:rPr>
        <w:t xml:space="preserve"> AC, </w:t>
      </w:r>
      <w:proofErr w:type="spellStart"/>
      <w:r w:rsidRPr="00F027C7">
        <w:rPr>
          <w:rStyle w:val="cf01"/>
          <w:rFonts w:ascii="Arial" w:hAnsi="Arial" w:cs="Arial"/>
          <w:sz w:val="22"/>
          <w:szCs w:val="22"/>
        </w:rPr>
        <w:t>Metersky</w:t>
      </w:r>
      <w:proofErr w:type="spellEnd"/>
      <w:r w:rsidRPr="00F027C7">
        <w:rPr>
          <w:rStyle w:val="cf01"/>
          <w:rFonts w:ascii="Arial" w:hAnsi="Arial" w:cs="Arial"/>
          <w:sz w:val="22"/>
          <w:szCs w:val="22"/>
        </w:rPr>
        <w:t xml:space="preserve"> ML, </w:t>
      </w:r>
      <w:proofErr w:type="spellStart"/>
      <w:r w:rsidRPr="00F027C7">
        <w:rPr>
          <w:rStyle w:val="cf01"/>
          <w:rFonts w:ascii="Arial" w:hAnsi="Arial" w:cs="Arial"/>
          <w:sz w:val="22"/>
          <w:szCs w:val="22"/>
        </w:rPr>
        <w:t>Klompas</w:t>
      </w:r>
      <w:proofErr w:type="spellEnd"/>
      <w:r w:rsidRPr="00F027C7">
        <w:rPr>
          <w:rStyle w:val="cf01"/>
          <w:rFonts w:ascii="Arial" w:hAnsi="Arial" w:cs="Arial"/>
          <w:sz w:val="22"/>
          <w:szCs w:val="22"/>
        </w:rPr>
        <w:t xml:space="preserve"> M, et al. Management of adults with hospital-acquired and ventilator-associated pneumonia: 2016 clinical practice guidelines by the Infectious Diseases Society of America and the American Thoracic Society. </w:t>
      </w:r>
      <w:r w:rsidRPr="00F027C7">
        <w:rPr>
          <w:rStyle w:val="cf11"/>
          <w:rFonts w:ascii="Arial" w:hAnsi="Arial" w:cs="Arial"/>
          <w:sz w:val="22"/>
          <w:szCs w:val="22"/>
        </w:rPr>
        <w:t xml:space="preserve">Clin Infect Dis. </w:t>
      </w:r>
      <w:r w:rsidRPr="00F027C7">
        <w:rPr>
          <w:rStyle w:val="cf01"/>
          <w:rFonts w:ascii="Arial" w:hAnsi="Arial" w:cs="Arial"/>
          <w:sz w:val="22"/>
          <w:szCs w:val="22"/>
        </w:rPr>
        <w:t>2016;63(5):e61-e111.</w:t>
      </w:r>
    </w:p>
    <w:p w:rsidR="008579D1" w:rsidRPr="00F027C7" w:rsidRDefault="008579D1" w:rsidP="00F027C7">
      <w:pPr>
        <w:pStyle w:val="pf0"/>
        <w:numPr>
          <w:ilvl w:val="0"/>
          <w:numId w:val="44"/>
        </w:numPr>
        <w:spacing w:after="120" w:afterAutospacing="0"/>
        <w:rPr>
          <w:rFonts w:ascii="Arial" w:hAnsi="Arial" w:cs="Arial"/>
          <w:sz w:val="22"/>
          <w:szCs w:val="22"/>
        </w:rPr>
      </w:pPr>
      <w:proofErr w:type="spellStart"/>
      <w:r w:rsidRPr="00F027C7">
        <w:rPr>
          <w:rStyle w:val="cf01"/>
          <w:rFonts w:ascii="Arial" w:eastAsia="Calibri" w:hAnsi="Arial" w:cs="Arial"/>
          <w:sz w:val="22"/>
          <w:szCs w:val="22"/>
        </w:rPr>
        <w:t>Lipsky</w:t>
      </w:r>
      <w:proofErr w:type="spellEnd"/>
      <w:r w:rsidRPr="00F027C7">
        <w:rPr>
          <w:rStyle w:val="cf01"/>
          <w:rFonts w:ascii="Arial" w:eastAsia="Calibri" w:hAnsi="Arial" w:cs="Arial"/>
          <w:sz w:val="22"/>
          <w:szCs w:val="22"/>
        </w:rPr>
        <w:t xml:space="preserve"> BA, </w:t>
      </w:r>
      <w:proofErr w:type="spellStart"/>
      <w:r w:rsidRPr="00F027C7">
        <w:rPr>
          <w:rStyle w:val="cf01"/>
          <w:rFonts w:ascii="Arial" w:eastAsia="Calibri" w:hAnsi="Arial" w:cs="Arial"/>
          <w:sz w:val="22"/>
          <w:szCs w:val="22"/>
        </w:rPr>
        <w:t>Berendt</w:t>
      </w:r>
      <w:proofErr w:type="spellEnd"/>
      <w:r w:rsidRPr="00F027C7">
        <w:rPr>
          <w:rStyle w:val="cf01"/>
          <w:rFonts w:ascii="Arial" w:eastAsia="Calibri" w:hAnsi="Arial" w:cs="Arial"/>
          <w:sz w:val="22"/>
          <w:szCs w:val="22"/>
        </w:rPr>
        <w:t xml:space="preserve"> AR, </w:t>
      </w:r>
      <w:proofErr w:type="spellStart"/>
      <w:r w:rsidRPr="00F027C7">
        <w:rPr>
          <w:rStyle w:val="cf01"/>
          <w:rFonts w:ascii="Arial" w:eastAsia="Calibri" w:hAnsi="Arial" w:cs="Arial"/>
          <w:sz w:val="22"/>
          <w:szCs w:val="22"/>
        </w:rPr>
        <w:t>Cornia</w:t>
      </w:r>
      <w:proofErr w:type="spellEnd"/>
      <w:r w:rsidRPr="00F027C7">
        <w:rPr>
          <w:rStyle w:val="cf01"/>
          <w:rFonts w:ascii="Arial" w:eastAsia="Calibri" w:hAnsi="Arial" w:cs="Arial"/>
          <w:sz w:val="22"/>
          <w:szCs w:val="22"/>
        </w:rPr>
        <w:t xml:space="preserve"> PB, et al. 2012 Infectious Diseases Society of America clinical practice guideline for the diagnosis and treatment of diabetic foot infections. </w:t>
      </w:r>
      <w:r w:rsidRPr="00F027C7">
        <w:rPr>
          <w:rStyle w:val="cf11"/>
          <w:rFonts w:ascii="Arial" w:hAnsi="Arial" w:cs="Arial"/>
          <w:sz w:val="22"/>
          <w:szCs w:val="22"/>
        </w:rPr>
        <w:t xml:space="preserve">Clin Infect Dis. </w:t>
      </w:r>
      <w:r w:rsidRPr="00F027C7">
        <w:rPr>
          <w:rStyle w:val="cf01"/>
          <w:rFonts w:ascii="Arial" w:eastAsia="Calibri" w:hAnsi="Arial" w:cs="Arial"/>
          <w:sz w:val="22"/>
          <w:szCs w:val="22"/>
        </w:rPr>
        <w:t>2012;54(12):e132-173.</w:t>
      </w:r>
    </w:p>
    <w:p w:rsidR="008579D1" w:rsidRPr="00F027C7" w:rsidRDefault="008579D1" w:rsidP="00F027C7">
      <w:pPr>
        <w:pStyle w:val="pf0"/>
        <w:numPr>
          <w:ilvl w:val="0"/>
          <w:numId w:val="44"/>
        </w:numPr>
        <w:spacing w:after="120" w:afterAutospacing="0"/>
        <w:rPr>
          <w:rFonts w:ascii="Arial" w:hAnsi="Arial" w:cs="Arial"/>
          <w:sz w:val="22"/>
          <w:szCs w:val="22"/>
        </w:rPr>
      </w:pPr>
      <w:r w:rsidRPr="00F027C7">
        <w:rPr>
          <w:rStyle w:val="cf01"/>
          <w:rFonts w:ascii="Arial" w:hAnsi="Arial" w:cs="Arial"/>
          <w:sz w:val="22"/>
          <w:szCs w:val="22"/>
        </w:rPr>
        <w:lastRenderedPageBreak/>
        <w:t>Liu C, Bayer A, et al. Clinical practice guidelines by the Infectious Diseases Society of America for the treatment of methicillin-resistant Staphylococcus aureus infections in adults and children. Clin Infect Dis 2011;51:1-38.</w:t>
      </w:r>
    </w:p>
    <w:p w:rsidR="008579D1" w:rsidRPr="00F027C7" w:rsidRDefault="008579D1" w:rsidP="00F027C7">
      <w:pPr>
        <w:pStyle w:val="pf0"/>
        <w:numPr>
          <w:ilvl w:val="0"/>
          <w:numId w:val="44"/>
        </w:numPr>
        <w:spacing w:after="120" w:afterAutospacing="0"/>
        <w:rPr>
          <w:rStyle w:val="cf01"/>
          <w:rFonts w:ascii="Arial" w:eastAsia="Calibri" w:hAnsi="Arial" w:cs="Arial"/>
          <w:sz w:val="22"/>
          <w:szCs w:val="22"/>
        </w:rPr>
      </w:pPr>
      <w:proofErr w:type="spellStart"/>
      <w:r w:rsidRPr="00F027C7">
        <w:rPr>
          <w:rStyle w:val="cf01"/>
          <w:rFonts w:ascii="Arial" w:eastAsia="Calibri" w:hAnsi="Arial" w:cs="Arial"/>
          <w:sz w:val="22"/>
          <w:szCs w:val="22"/>
        </w:rPr>
        <w:t>Mazuski</w:t>
      </w:r>
      <w:proofErr w:type="spellEnd"/>
      <w:r w:rsidRPr="00F027C7">
        <w:rPr>
          <w:rStyle w:val="cf01"/>
          <w:rFonts w:ascii="Arial" w:eastAsia="Calibri" w:hAnsi="Arial" w:cs="Arial"/>
          <w:sz w:val="22"/>
          <w:szCs w:val="22"/>
        </w:rPr>
        <w:t xml:space="preserve"> JE, Tessier JM, May AK, et al. The Surgical Infection Society revised guidelines on the management of intra-abdominal infection. </w:t>
      </w:r>
      <w:proofErr w:type="spellStart"/>
      <w:r w:rsidRPr="00F027C7">
        <w:rPr>
          <w:rStyle w:val="cf11"/>
          <w:rFonts w:ascii="Arial" w:hAnsi="Arial" w:cs="Arial"/>
          <w:sz w:val="22"/>
          <w:szCs w:val="22"/>
        </w:rPr>
        <w:t>Surg</w:t>
      </w:r>
      <w:proofErr w:type="spellEnd"/>
      <w:r w:rsidRPr="00F027C7">
        <w:rPr>
          <w:rStyle w:val="cf11"/>
          <w:rFonts w:ascii="Arial" w:hAnsi="Arial" w:cs="Arial"/>
          <w:sz w:val="22"/>
          <w:szCs w:val="22"/>
        </w:rPr>
        <w:t xml:space="preserve"> Infect (</w:t>
      </w:r>
      <w:proofErr w:type="spellStart"/>
      <w:r w:rsidRPr="00F027C7">
        <w:rPr>
          <w:rStyle w:val="cf11"/>
          <w:rFonts w:ascii="Arial" w:hAnsi="Arial" w:cs="Arial"/>
          <w:sz w:val="22"/>
          <w:szCs w:val="22"/>
        </w:rPr>
        <w:t>Larchmt</w:t>
      </w:r>
      <w:proofErr w:type="spellEnd"/>
      <w:r w:rsidRPr="00F027C7">
        <w:rPr>
          <w:rStyle w:val="cf11"/>
          <w:rFonts w:ascii="Arial" w:hAnsi="Arial" w:cs="Arial"/>
          <w:sz w:val="22"/>
          <w:szCs w:val="22"/>
        </w:rPr>
        <w:t xml:space="preserve">). </w:t>
      </w:r>
      <w:r w:rsidRPr="00F027C7">
        <w:rPr>
          <w:rStyle w:val="cf01"/>
          <w:rFonts w:ascii="Arial" w:eastAsia="Calibri" w:hAnsi="Arial" w:cs="Arial"/>
          <w:sz w:val="22"/>
          <w:szCs w:val="22"/>
        </w:rPr>
        <w:t>2017;18(1):1-76.</w:t>
      </w:r>
    </w:p>
    <w:p w:rsidR="008579D1" w:rsidRPr="00F027C7" w:rsidRDefault="008579D1" w:rsidP="00F027C7">
      <w:pPr>
        <w:pStyle w:val="pf0"/>
        <w:numPr>
          <w:ilvl w:val="0"/>
          <w:numId w:val="44"/>
        </w:numPr>
        <w:spacing w:after="120" w:afterAutospacing="0"/>
        <w:rPr>
          <w:rStyle w:val="cf01"/>
          <w:rFonts w:ascii="Arial" w:hAnsi="Arial" w:cs="Arial"/>
          <w:sz w:val="22"/>
          <w:szCs w:val="22"/>
        </w:rPr>
      </w:pPr>
      <w:proofErr w:type="spellStart"/>
      <w:r w:rsidRPr="00F027C7">
        <w:rPr>
          <w:rStyle w:val="cf01"/>
          <w:rFonts w:ascii="Arial" w:hAnsi="Arial" w:cs="Arial"/>
          <w:sz w:val="22"/>
          <w:szCs w:val="22"/>
        </w:rPr>
        <w:t>Mermel</w:t>
      </w:r>
      <w:proofErr w:type="spellEnd"/>
      <w:r w:rsidRPr="00F027C7">
        <w:rPr>
          <w:rStyle w:val="cf01"/>
          <w:rFonts w:ascii="Arial" w:hAnsi="Arial" w:cs="Arial"/>
          <w:sz w:val="22"/>
          <w:szCs w:val="22"/>
        </w:rPr>
        <w:t xml:space="preserve"> LA, </w:t>
      </w:r>
      <w:proofErr w:type="spellStart"/>
      <w:r w:rsidRPr="00F027C7">
        <w:rPr>
          <w:rStyle w:val="cf01"/>
          <w:rFonts w:ascii="Arial" w:hAnsi="Arial" w:cs="Arial"/>
          <w:sz w:val="22"/>
          <w:szCs w:val="22"/>
        </w:rPr>
        <w:t>Allon</w:t>
      </w:r>
      <w:proofErr w:type="spellEnd"/>
      <w:r w:rsidRPr="00F027C7">
        <w:rPr>
          <w:rStyle w:val="cf01"/>
          <w:rFonts w:ascii="Arial" w:hAnsi="Arial" w:cs="Arial"/>
          <w:sz w:val="22"/>
          <w:szCs w:val="22"/>
        </w:rPr>
        <w:t xml:space="preserve"> M, et al. Clinical practice guidelines for the diagnosis and management of intravascular catheter-related infection: 2009 update by the Infectious Diseases Society of America. Clin Infect Dos 2009;49:1-45.</w:t>
      </w:r>
    </w:p>
    <w:p w:rsidR="008579D1" w:rsidRPr="00F027C7" w:rsidRDefault="008579D1" w:rsidP="00F027C7">
      <w:pPr>
        <w:pStyle w:val="pf0"/>
        <w:numPr>
          <w:ilvl w:val="0"/>
          <w:numId w:val="44"/>
        </w:numPr>
        <w:spacing w:after="120" w:afterAutospacing="0"/>
        <w:rPr>
          <w:rStyle w:val="cf01"/>
          <w:rFonts w:ascii="Arial" w:hAnsi="Arial" w:cs="Arial"/>
          <w:sz w:val="22"/>
          <w:szCs w:val="22"/>
        </w:rPr>
      </w:pPr>
      <w:r w:rsidRPr="00F027C7">
        <w:rPr>
          <w:rStyle w:val="cf01"/>
          <w:rFonts w:ascii="Arial" w:hAnsi="Arial" w:cs="Arial"/>
          <w:sz w:val="22"/>
          <w:szCs w:val="22"/>
        </w:rPr>
        <w:t xml:space="preserve">National Comprehensive Cancer Network (NCCN). Prevention and Treatment of Cancer-Related Infections. Version 2.2022. August 19, 2022. available from </w:t>
      </w:r>
      <w:hyperlink r:id="rId16" w:history="1">
        <w:r w:rsidRPr="00F027C7">
          <w:rPr>
            <w:rStyle w:val="cf01"/>
            <w:rFonts w:ascii="Arial" w:hAnsi="Arial" w:cs="Arial"/>
            <w:color w:val="0000FF"/>
            <w:sz w:val="22"/>
            <w:szCs w:val="22"/>
            <w:u w:val="single"/>
          </w:rPr>
          <w:t>infections.pdf (nccn.org)</w:t>
        </w:r>
      </w:hyperlink>
      <w:r w:rsidRPr="00F027C7">
        <w:rPr>
          <w:rStyle w:val="cf01"/>
          <w:rFonts w:ascii="Arial" w:hAnsi="Arial" w:cs="Arial"/>
          <w:sz w:val="22"/>
          <w:szCs w:val="22"/>
        </w:rPr>
        <w:t>.</w:t>
      </w:r>
    </w:p>
    <w:p w:rsidR="008579D1" w:rsidRPr="00F027C7" w:rsidRDefault="008579D1" w:rsidP="00F027C7">
      <w:pPr>
        <w:pStyle w:val="pf0"/>
        <w:numPr>
          <w:ilvl w:val="0"/>
          <w:numId w:val="44"/>
        </w:numPr>
        <w:spacing w:after="120" w:afterAutospacing="0"/>
        <w:rPr>
          <w:rFonts w:ascii="Arial" w:hAnsi="Arial" w:cs="Arial"/>
          <w:sz w:val="22"/>
          <w:szCs w:val="22"/>
        </w:rPr>
      </w:pPr>
      <w:proofErr w:type="spellStart"/>
      <w:r w:rsidRPr="00F027C7">
        <w:rPr>
          <w:rStyle w:val="cf01"/>
          <w:rFonts w:ascii="Arial" w:eastAsia="Calibri" w:hAnsi="Arial" w:cs="Arial"/>
          <w:sz w:val="22"/>
          <w:szCs w:val="22"/>
        </w:rPr>
        <w:t>Solomkin</w:t>
      </w:r>
      <w:proofErr w:type="spellEnd"/>
      <w:r w:rsidRPr="00F027C7">
        <w:rPr>
          <w:rStyle w:val="cf01"/>
          <w:rFonts w:ascii="Arial" w:eastAsia="Calibri" w:hAnsi="Arial" w:cs="Arial"/>
          <w:sz w:val="22"/>
          <w:szCs w:val="22"/>
        </w:rPr>
        <w:t xml:space="preserve"> JS, </w:t>
      </w:r>
      <w:proofErr w:type="spellStart"/>
      <w:r w:rsidRPr="00F027C7">
        <w:rPr>
          <w:rStyle w:val="cf01"/>
          <w:rFonts w:ascii="Arial" w:eastAsia="Calibri" w:hAnsi="Arial" w:cs="Arial"/>
          <w:sz w:val="22"/>
          <w:szCs w:val="22"/>
        </w:rPr>
        <w:t>Mazuski</w:t>
      </w:r>
      <w:proofErr w:type="spellEnd"/>
      <w:r w:rsidRPr="00F027C7">
        <w:rPr>
          <w:rStyle w:val="cf01"/>
          <w:rFonts w:ascii="Arial" w:eastAsia="Calibri" w:hAnsi="Arial" w:cs="Arial"/>
          <w:sz w:val="22"/>
          <w:szCs w:val="22"/>
        </w:rPr>
        <w:t xml:space="preserve"> JE, Bradley JS, et al. Diagnosis and management of complicated intra-abdominal infection in adults and children: guidelines by the Surgical Infection Society and the Infectious Diseases Society of America. </w:t>
      </w:r>
      <w:r w:rsidRPr="00F027C7">
        <w:rPr>
          <w:rStyle w:val="cf11"/>
          <w:rFonts w:ascii="Arial" w:hAnsi="Arial" w:cs="Arial"/>
          <w:sz w:val="22"/>
          <w:szCs w:val="22"/>
        </w:rPr>
        <w:t xml:space="preserve">Clin Infect Dis. </w:t>
      </w:r>
      <w:r w:rsidRPr="00F027C7">
        <w:rPr>
          <w:rStyle w:val="cf01"/>
          <w:rFonts w:ascii="Arial" w:eastAsia="Calibri" w:hAnsi="Arial" w:cs="Arial"/>
          <w:sz w:val="22"/>
          <w:szCs w:val="22"/>
        </w:rPr>
        <w:t>2010;50(2):133-164.</w:t>
      </w:r>
    </w:p>
    <w:p w:rsidR="008579D1" w:rsidRPr="00F027C7" w:rsidRDefault="008579D1" w:rsidP="00F027C7">
      <w:pPr>
        <w:pStyle w:val="pf0"/>
        <w:numPr>
          <w:ilvl w:val="0"/>
          <w:numId w:val="44"/>
        </w:numPr>
        <w:spacing w:after="120" w:afterAutospacing="0"/>
        <w:rPr>
          <w:rStyle w:val="cf01"/>
          <w:rFonts w:ascii="Arial" w:hAnsi="Arial" w:cs="Arial"/>
          <w:sz w:val="22"/>
          <w:szCs w:val="22"/>
        </w:rPr>
      </w:pPr>
      <w:r w:rsidRPr="00F027C7">
        <w:rPr>
          <w:rStyle w:val="cf01"/>
          <w:rFonts w:ascii="Arial" w:hAnsi="Arial" w:cs="Arial"/>
          <w:sz w:val="22"/>
          <w:szCs w:val="22"/>
        </w:rPr>
        <w:t xml:space="preserve">Stevens DL, </w:t>
      </w:r>
      <w:proofErr w:type="spellStart"/>
      <w:r w:rsidRPr="00F027C7">
        <w:rPr>
          <w:rStyle w:val="cf01"/>
          <w:rFonts w:ascii="Arial" w:hAnsi="Arial" w:cs="Arial"/>
          <w:sz w:val="22"/>
          <w:szCs w:val="22"/>
        </w:rPr>
        <w:t>Bisno</w:t>
      </w:r>
      <w:proofErr w:type="spellEnd"/>
      <w:r w:rsidRPr="00F027C7">
        <w:rPr>
          <w:rStyle w:val="cf01"/>
          <w:rFonts w:ascii="Arial" w:hAnsi="Arial" w:cs="Arial"/>
          <w:sz w:val="22"/>
          <w:szCs w:val="22"/>
        </w:rPr>
        <w:t xml:space="preserve"> AL, Chambers HF, et al. Practice Guidelines for the diagnosis and management of skin and soft tissue infections: 2014 update by the Infectious Diseases Society of America. </w:t>
      </w:r>
      <w:r w:rsidRPr="00F027C7">
        <w:rPr>
          <w:rStyle w:val="cf11"/>
          <w:rFonts w:ascii="Arial" w:eastAsia="Calibri" w:hAnsi="Arial" w:cs="Arial"/>
          <w:sz w:val="22"/>
          <w:szCs w:val="22"/>
        </w:rPr>
        <w:t>Clin Infect Dis</w:t>
      </w:r>
      <w:r w:rsidRPr="00F027C7">
        <w:rPr>
          <w:rStyle w:val="cf01"/>
          <w:rFonts w:ascii="Arial" w:hAnsi="Arial" w:cs="Arial"/>
          <w:sz w:val="22"/>
          <w:szCs w:val="22"/>
        </w:rPr>
        <w:t xml:space="preserve"> 2014; </w:t>
      </w:r>
      <w:proofErr w:type="spellStart"/>
      <w:r w:rsidRPr="00F027C7">
        <w:rPr>
          <w:rStyle w:val="cf01"/>
          <w:rFonts w:ascii="Arial" w:hAnsi="Arial" w:cs="Arial"/>
          <w:sz w:val="22"/>
          <w:szCs w:val="22"/>
        </w:rPr>
        <w:t>doi</w:t>
      </w:r>
      <w:proofErr w:type="spellEnd"/>
      <w:r w:rsidRPr="00F027C7">
        <w:rPr>
          <w:rStyle w:val="cf01"/>
          <w:rFonts w:ascii="Arial" w:hAnsi="Arial" w:cs="Arial"/>
          <w:sz w:val="22"/>
          <w:szCs w:val="22"/>
        </w:rPr>
        <w:t>: 10.1093/</w:t>
      </w:r>
      <w:proofErr w:type="spellStart"/>
      <w:r w:rsidRPr="00F027C7">
        <w:rPr>
          <w:rStyle w:val="cf01"/>
          <w:rFonts w:ascii="Arial" w:hAnsi="Arial" w:cs="Arial"/>
          <w:sz w:val="22"/>
          <w:szCs w:val="22"/>
        </w:rPr>
        <w:t>cid</w:t>
      </w:r>
      <w:proofErr w:type="spellEnd"/>
      <w:r w:rsidRPr="00F027C7">
        <w:rPr>
          <w:rStyle w:val="cf01"/>
          <w:rFonts w:ascii="Arial" w:hAnsi="Arial" w:cs="Arial"/>
          <w:sz w:val="22"/>
          <w:szCs w:val="22"/>
        </w:rPr>
        <w:t>/ciu296.</w:t>
      </w:r>
    </w:p>
    <w:p w:rsidR="008579D1" w:rsidRPr="00F027C7" w:rsidRDefault="008579D1" w:rsidP="00F027C7">
      <w:pPr>
        <w:pStyle w:val="pf0"/>
        <w:numPr>
          <w:ilvl w:val="0"/>
          <w:numId w:val="44"/>
        </w:numPr>
        <w:spacing w:after="120" w:afterAutospacing="0"/>
        <w:rPr>
          <w:rStyle w:val="cf01"/>
          <w:rFonts w:ascii="Arial" w:hAnsi="Arial" w:cs="Arial"/>
          <w:sz w:val="22"/>
          <w:szCs w:val="22"/>
        </w:rPr>
      </w:pPr>
      <w:proofErr w:type="spellStart"/>
      <w:r w:rsidRPr="00F027C7">
        <w:rPr>
          <w:rStyle w:val="cf01"/>
          <w:rFonts w:ascii="Arial" w:hAnsi="Arial" w:cs="Arial"/>
          <w:sz w:val="22"/>
          <w:szCs w:val="22"/>
        </w:rPr>
        <w:t>Tunkel</w:t>
      </w:r>
      <w:proofErr w:type="spellEnd"/>
      <w:r w:rsidRPr="00F027C7">
        <w:rPr>
          <w:rStyle w:val="cf01"/>
          <w:rFonts w:ascii="Arial" w:hAnsi="Arial" w:cs="Arial"/>
          <w:sz w:val="22"/>
          <w:szCs w:val="22"/>
        </w:rPr>
        <w:t xml:space="preserve"> AR, et al. Practice guidelines for the management of bacterial meningitis. Clin Infect dis 2004;39:1267-84.</w:t>
      </w:r>
    </w:p>
    <w:p w:rsidR="008579D1" w:rsidRDefault="008579D1" w:rsidP="008579D1">
      <w:pPr>
        <w:pStyle w:val="pf0"/>
        <w:rPr>
          <w:rFonts w:ascii="Arial" w:hAnsi="Arial" w:cs="Arial"/>
          <w:sz w:val="20"/>
          <w:szCs w:val="20"/>
        </w:rPr>
      </w:pPr>
    </w:p>
    <w:p w:rsidR="008579D1" w:rsidRPr="00782828" w:rsidRDefault="008579D1">
      <w:pPr>
        <w:rPr>
          <w:rFonts w:cs="Calibri"/>
          <w:b/>
          <w:sz w:val="18"/>
          <w:szCs w:val="20"/>
          <w:u w:val="single"/>
          <w:vertAlign w:val="superscript"/>
        </w:rPr>
      </w:pPr>
    </w:p>
    <w:sectPr w:rsidR="008579D1" w:rsidRPr="00782828" w:rsidSect="00F027C7">
      <w:headerReference w:type="default" r:id="rId17"/>
      <w:footerReference w:type="default" r:id="rId18"/>
      <w:pgSz w:w="15840" w:h="12240" w:orient="landscape"/>
      <w:pgMar w:top="1440" w:right="1080" w:bottom="720" w:left="108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8B5" w:rsidRDefault="00BD78B5" w:rsidP="00093875">
      <w:r>
        <w:separator/>
      </w:r>
    </w:p>
  </w:endnote>
  <w:endnote w:type="continuationSeparator" w:id="0">
    <w:p w:rsidR="00BD78B5" w:rsidRDefault="00BD78B5" w:rsidP="0009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893" w:rsidRPr="003F7A4B" w:rsidRDefault="009D2893" w:rsidP="009D2893">
    <w:pPr>
      <w:tabs>
        <w:tab w:val="center" w:pos="4680"/>
        <w:tab w:val="right" w:pos="9360"/>
      </w:tabs>
      <w:ind w:left="-360"/>
      <w:jc w:val="center"/>
      <w:rPr>
        <w:i/>
        <w:color w:val="000000"/>
        <w:sz w:val="16"/>
        <w:szCs w:val="24"/>
      </w:rPr>
    </w:pPr>
    <w:r w:rsidRPr="003F7A4B">
      <w:rPr>
        <w:i/>
        <w:color w:val="000000"/>
        <w:sz w:val="16"/>
        <w:szCs w:val="24"/>
      </w:rPr>
      <w:t>This information is provided as informational only and is not intended to constitute medical advice or a medical recommendation.  All decisions on medical</w:t>
    </w:r>
  </w:p>
  <w:p w:rsidR="009D2893" w:rsidRDefault="009D2893" w:rsidP="009D2893">
    <w:pPr>
      <w:tabs>
        <w:tab w:val="center" w:pos="4680"/>
        <w:tab w:val="right" w:pos="10350"/>
      </w:tabs>
      <w:ind w:left="-360"/>
      <w:jc w:val="center"/>
      <w:rPr>
        <w:i/>
        <w:color w:val="000000"/>
        <w:sz w:val="16"/>
        <w:szCs w:val="24"/>
      </w:rPr>
    </w:pPr>
    <w:r w:rsidRPr="003F7A4B">
      <w:rPr>
        <w:i/>
        <w:color w:val="000000"/>
        <w:sz w:val="16"/>
        <w:szCs w:val="24"/>
      </w:rPr>
      <w:t>treatment must be made by appropriately licensed healthcare practitioner considering the needs of individual patients.</w:t>
    </w:r>
  </w:p>
  <w:p w:rsidR="009D2893" w:rsidRPr="009D2893" w:rsidRDefault="009D2893" w:rsidP="009D2893">
    <w:pPr>
      <w:tabs>
        <w:tab w:val="left" w:pos="-540"/>
        <w:tab w:val="center" w:pos="4680"/>
        <w:tab w:val="right" w:pos="9360"/>
      </w:tabs>
      <w:ind w:left="-630" w:firstLine="90"/>
      <w:jc w:val="center"/>
      <w:rPr>
        <w:rFonts w:eastAsia="Batang"/>
        <w:szCs w:val="24"/>
        <w:lang w:eastAsia="ko-KR"/>
      </w:rPr>
    </w:pPr>
    <w:r w:rsidRPr="00C00330">
      <w:rPr>
        <w:rFonts w:ascii="Arial" w:eastAsia="Batang" w:hAnsi="Arial" w:cs="Arial"/>
        <w:sz w:val="18"/>
        <w:szCs w:val="20"/>
        <w:lang w:eastAsia="ko-KR"/>
      </w:rPr>
      <w:t>©201</w:t>
    </w:r>
    <w:r>
      <w:rPr>
        <w:rFonts w:ascii="Arial" w:eastAsia="Batang" w:hAnsi="Arial" w:cs="Arial"/>
        <w:sz w:val="18"/>
        <w:szCs w:val="20"/>
        <w:lang w:eastAsia="ko-KR"/>
      </w:rPr>
      <w:t>9</w:t>
    </w:r>
    <w:r w:rsidRPr="00C00330">
      <w:rPr>
        <w:rFonts w:ascii="Arial" w:eastAsia="Batang" w:hAnsi="Arial" w:cs="Arial"/>
        <w:sz w:val="18"/>
        <w:szCs w:val="20"/>
        <w:lang w:eastAsia="ko-KR"/>
      </w:rPr>
      <w:t xml:space="preserve"> Cardinal Health, Inc. or one of its subsidiaries. All rights reserved</w:t>
    </w:r>
    <w:r w:rsidRPr="00C00330">
      <w:rPr>
        <w:rFonts w:eastAsia="Batang"/>
        <w:szCs w:val="24"/>
        <w:lang w:eastAsia="ko-KR"/>
      </w:rPr>
      <w:t>.</w:t>
    </w:r>
    <w:r>
      <w:rPr>
        <w:rFonts w:eastAsia="Batang"/>
        <w:szCs w:val="24"/>
        <w:lang w:eastAsia="ko-KR"/>
      </w:rPr>
      <w:t xml:space="preserve"> </w:t>
    </w:r>
    <w:r w:rsidRPr="009D2893">
      <w:rPr>
        <w:rFonts w:ascii="Arial" w:eastAsia="Batang" w:hAnsi="Arial" w:cs="Arial"/>
        <w:sz w:val="18"/>
        <w:szCs w:val="20"/>
        <w:lang w:eastAsia="ko-KR"/>
      </w:rPr>
      <w:t>10/2022</w:t>
    </w:r>
    <w:r w:rsidRPr="009D2893">
      <w:rPr>
        <w:rFonts w:eastAsia="Batang"/>
        <w:sz w:val="18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8B5" w:rsidRDefault="00BD78B5" w:rsidP="00093875">
      <w:r>
        <w:separator/>
      </w:r>
    </w:p>
  </w:footnote>
  <w:footnote w:type="continuationSeparator" w:id="0">
    <w:p w:rsidR="00BD78B5" w:rsidRDefault="00BD78B5" w:rsidP="00093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893" w:rsidRPr="009D2893" w:rsidRDefault="009D2893" w:rsidP="009D2893">
    <w:pPr>
      <w:pStyle w:val="Header"/>
      <w:spacing w:after="240"/>
      <w:rPr>
        <w:b/>
        <w:bCs/>
        <w:sz w:val="32"/>
        <w:szCs w:val="32"/>
      </w:rPr>
    </w:pPr>
    <w:r>
      <w:rPr>
        <w:rFonts w:ascii="Verdana" w:hAnsi="Verdana"/>
        <w:noProof/>
        <w:color w:val="0000FF"/>
        <w:sz w:val="18"/>
        <w:szCs w:val="18"/>
      </w:rPr>
      <w:drawing>
        <wp:inline distT="0" distB="0" distL="0" distR="0" wp14:anchorId="2DDE2A35" wp14:editId="3F060719">
          <wp:extent cx="1847850" cy="600075"/>
          <wp:effectExtent l="0" t="0" r="0" b="9525"/>
          <wp:docPr id="17" name="Picture 17" descr="Cardinal Health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dinal Health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 w:rsidRPr="009D2893">
      <w:rPr>
        <w:b/>
        <w:bCs/>
        <w:sz w:val="32"/>
        <w:szCs w:val="32"/>
      </w:rPr>
      <w:t>Vancomycin</w:t>
    </w:r>
    <w:r>
      <w:rPr>
        <w:b/>
        <w:bCs/>
        <w:sz w:val="32"/>
        <w:szCs w:val="32"/>
      </w:rPr>
      <w:t xml:space="preserve"> Empiric</w:t>
    </w:r>
    <w:r w:rsidRPr="009D2893">
      <w:rPr>
        <w:b/>
        <w:bCs/>
        <w:sz w:val="32"/>
        <w:szCs w:val="32"/>
      </w:rPr>
      <w:t xml:space="preserve"> Indications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563"/>
    <w:multiLevelType w:val="hybridMultilevel"/>
    <w:tmpl w:val="0644ACC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A44DD"/>
    <w:multiLevelType w:val="hybridMultilevel"/>
    <w:tmpl w:val="E4868BC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15D3B"/>
    <w:multiLevelType w:val="hybridMultilevel"/>
    <w:tmpl w:val="FCA4D87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536FB8"/>
    <w:multiLevelType w:val="hybridMultilevel"/>
    <w:tmpl w:val="8AAEC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C110B9"/>
    <w:multiLevelType w:val="hybridMultilevel"/>
    <w:tmpl w:val="9A74D092"/>
    <w:lvl w:ilvl="0" w:tplc="F23ED310">
      <w:start w:val="1"/>
      <w:numFmt w:val="bullet"/>
      <w:lvlText w:val=""/>
      <w:lvlJc w:val="left"/>
      <w:pPr>
        <w:tabs>
          <w:tab w:val="num" w:pos="560"/>
        </w:tabs>
        <w:ind w:left="560" w:hanging="360"/>
      </w:pPr>
      <w:rPr>
        <w:rFonts w:ascii="Symbol" w:hAnsi="Symbol" w:hint="default"/>
        <w:color w:val="auto"/>
        <w:sz w:val="24"/>
        <w:szCs w:val="22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5" w15:restartNumberingAfterBreak="0">
    <w:nsid w:val="1CAC25F5"/>
    <w:multiLevelType w:val="hybridMultilevel"/>
    <w:tmpl w:val="B4DCFF2A"/>
    <w:lvl w:ilvl="0" w:tplc="933841D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F052C0"/>
    <w:multiLevelType w:val="hybridMultilevel"/>
    <w:tmpl w:val="D06C419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DC2BF0"/>
    <w:multiLevelType w:val="hybridMultilevel"/>
    <w:tmpl w:val="58425D5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C648BC"/>
    <w:multiLevelType w:val="hybridMultilevel"/>
    <w:tmpl w:val="0DAE0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D4972"/>
    <w:multiLevelType w:val="hybridMultilevel"/>
    <w:tmpl w:val="D2F0F4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DE41E7"/>
    <w:multiLevelType w:val="hybridMultilevel"/>
    <w:tmpl w:val="1A3489CC"/>
    <w:lvl w:ilvl="0" w:tplc="04090001">
      <w:start w:val="1"/>
      <w:numFmt w:val="bullet"/>
      <w:lvlText w:val=""/>
      <w:lvlJc w:val="left"/>
      <w:pPr>
        <w:ind w:left="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</w:abstractNum>
  <w:abstractNum w:abstractNumId="11" w15:restartNumberingAfterBreak="0">
    <w:nsid w:val="244828B8"/>
    <w:multiLevelType w:val="hybridMultilevel"/>
    <w:tmpl w:val="FD624B5A"/>
    <w:lvl w:ilvl="0" w:tplc="348407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AA07C6"/>
    <w:multiLevelType w:val="hybridMultilevel"/>
    <w:tmpl w:val="B3149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A5CDB"/>
    <w:multiLevelType w:val="hybridMultilevel"/>
    <w:tmpl w:val="132E38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E26C08"/>
    <w:multiLevelType w:val="hybridMultilevel"/>
    <w:tmpl w:val="48E62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623690"/>
    <w:multiLevelType w:val="hybridMultilevel"/>
    <w:tmpl w:val="FB6E3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AE5D7C"/>
    <w:multiLevelType w:val="hybridMultilevel"/>
    <w:tmpl w:val="60925C80"/>
    <w:lvl w:ilvl="0" w:tplc="37DAE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46A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784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E0E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CE5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FA8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0C7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601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9A5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E151FE4"/>
    <w:multiLevelType w:val="hybridMultilevel"/>
    <w:tmpl w:val="4578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20638"/>
    <w:multiLevelType w:val="hybridMultilevel"/>
    <w:tmpl w:val="A1166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4E566B"/>
    <w:multiLevelType w:val="hybridMultilevel"/>
    <w:tmpl w:val="77EAC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921176"/>
    <w:multiLevelType w:val="hybridMultilevel"/>
    <w:tmpl w:val="27F097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02026"/>
    <w:multiLevelType w:val="hybridMultilevel"/>
    <w:tmpl w:val="5CB62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C269A8"/>
    <w:multiLevelType w:val="hybridMultilevel"/>
    <w:tmpl w:val="34866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D52BE9"/>
    <w:multiLevelType w:val="hybridMultilevel"/>
    <w:tmpl w:val="A86A5B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9F2DC2"/>
    <w:multiLevelType w:val="hybridMultilevel"/>
    <w:tmpl w:val="68282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96F69"/>
    <w:multiLevelType w:val="hybridMultilevel"/>
    <w:tmpl w:val="19F8C88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D224F7"/>
    <w:multiLevelType w:val="hybridMultilevel"/>
    <w:tmpl w:val="E6A00A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4545C0"/>
    <w:multiLevelType w:val="hybridMultilevel"/>
    <w:tmpl w:val="E4A8989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DA1034"/>
    <w:multiLevelType w:val="hybridMultilevel"/>
    <w:tmpl w:val="0818C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2F722E"/>
    <w:multiLevelType w:val="hybridMultilevel"/>
    <w:tmpl w:val="0AAEF43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7A215F"/>
    <w:multiLevelType w:val="hybridMultilevel"/>
    <w:tmpl w:val="EB4C76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855668"/>
    <w:multiLevelType w:val="hybridMultilevel"/>
    <w:tmpl w:val="382C5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E24D43"/>
    <w:multiLevelType w:val="hybridMultilevel"/>
    <w:tmpl w:val="46D004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7479D"/>
    <w:multiLevelType w:val="hybridMultilevel"/>
    <w:tmpl w:val="A24A5A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827C1C"/>
    <w:multiLevelType w:val="hybridMultilevel"/>
    <w:tmpl w:val="7994C87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39530E"/>
    <w:multiLevelType w:val="hybridMultilevel"/>
    <w:tmpl w:val="F30CA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0B7FAA"/>
    <w:multiLevelType w:val="hybridMultilevel"/>
    <w:tmpl w:val="4712F796"/>
    <w:lvl w:ilvl="0" w:tplc="E078024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6E0C16CA"/>
    <w:multiLevelType w:val="hybridMultilevel"/>
    <w:tmpl w:val="E96A2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1704B3"/>
    <w:multiLevelType w:val="hybridMultilevel"/>
    <w:tmpl w:val="88382E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3A2CD3"/>
    <w:multiLevelType w:val="hybridMultilevel"/>
    <w:tmpl w:val="A36003C0"/>
    <w:lvl w:ilvl="0" w:tplc="08866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433B8"/>
    <w:multiLevelType w:val="hybridMultilevel"/>
    <w:tmpl w:val="FD7645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283E2C"/>
    <w:multiLevelType w:val="hybridMultilevel"/>
    <w:tmpl w:val="4058C0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380F46"/>
    <w:multiLevelType w:val="hybridMultilevel"/>
    <w:tmpl w:val="25DCB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AC3A90"/>
    <w:multiLevelType w:val="hybridMultilevel"/>
    <w:tmpl w:val="22381E32"/>
    <w:lvl w:ilvl="0" w:tplc="04090011">
      <w:start w:val="1"/>
      <w:numFmt w:val="decimal"/>
      <w:lvlText w:val="%1)"/>
      <w:lvlJc w:val="left"/>
      <w:pPr>
        <w:ind w:left="646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86" w:hanging="180"/>
      </w:pPr>
    </w:lvl>
    <w:lvl w:ilvl="3" w:tplc="0409000F" w:tentative="1">
      <w:start w:val="1"/>
      <w:numFmt w:val="decimal"/>
      <w:lvlText w:val="%4."/>
      <w:lvlJc w:val="left"/>
      <w:pPr>
        <w:ind w:left="2806" w:hanging="360"/>
      </w:pPr>
    </w:lvl>
    <w:lvl w:ilvl="4" w:tplc="04090019" w:tentative="1">
      <w:start w:val="1"/>
      <w:numFmt w:val="lowerLetter"/>
      <w:lvlText w:val="%5."/>
      <w:lvlJc w:val="left"/>
      <w:pPr>
        <w:ind w:left="3526" w:hanging="360"/>
      </w:pPr>
    </w:lvl>
    <w:lvl w:ilvl="5" w:tplc="0409001B" w:tentative="1">
      <w:start w:val="1"/>
      <w:numFmt w:val="lowerRoman"/>
      <w:lvlText w:val="%6."/>
      <w:lvlJc w:val="right"/>
      <w:pPr>
        <w:ind w:left="4246" w:hanging="180"/>
      </w:pPr>
    </w:lvl>
    <w:lvl w:ilvl="6" w:tplc="0409000F" w:tentative="1">
      <w:start w:val="1"/>
      <w:numFmt w:val="decimal"/>
      <w:lvlText w:val="%7."/>
      <w:lvlJc w:val="left"/>
      <w:pPr>
        <w:ind w:left="4966" w:hanging="360"/>
      </w:pPr>
    </w:lvl>
    <w:lvl w:ilvl="7" w:tplc="04090019" w:tentative="1">
      <w:start w:val="1"/>
      <w:numFmt w:val="lowerLetter"/>
      <w:lvlText w:val="%8."/>
      <w:lvlJc w:val="left"/>
      <w:pPr>
        <w:ind w:left="5686" w:hanging="360"/>
      </w:pPr>
    </w:lvl>
    <w:lvl w:ilvl="8" w:tplc="040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44" w15:restartNumberingAfterBreak="0">
    <w:nsid w:val="7E013DEF"/>
    <w:multiLevelType w:val="hybridMultilevel"/>
    <w:tmpl w:val="54221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8"/>
  </w:num>
  <w:num w:numId="4">
    <w:abstractNumId w:val="8"/>
  </w:num>
  <w:num w:numId="5">
    <w:abstractNumId w:val="24"/>
  </w:num>
  <w:num w:numId="6">
    <w:abstractNumId w:val="17"/>
  </w:num>
  <w:num w:numId="7">
    <w:abstractNumId w:val="23"/>
  </w:num>
  <w:num w:numId="8">
    <w:abstractNumId w:val="19"/>
  </w:num>
  <w:num w:numId="9">
    <w:abstractNumId w:val="1"/>
  </w:num>
  <w:num w:numId="10">
    <w:abstractNumId w:val="31"/>
  </w:num>
  <w:num w:numId="11">
    <w:abstractNumId w:val="2"/>
  </w:num>
  <w:num w:numId="12">
    <w:abstractNumId w:val="25"/>
  </w:num>
  <w:num w:numId="13">
    <w:abstractNumId w:val="43"/>
  </w:num>
  <w:num w:numId="14">
    <w:abstractNumId w:val="38"/>
  </w:num>
  <w:num w:numId="15">
    <w:abstractNumId w:val="3"/>
  </w:num>
  <w:num w:numId="16">
    <w:abstractNumId w:val="4"/>
  </w:num>
  <w:num w:numId="17">
    <w:abstractNumId w:val="9"/>
  </w:num>
  <w:num w:numId="18">
    <w:abstractNumId w:val="34"/>
  </w:num>
  <w:num w:numId="19">
    <w:abstractNumId w:val="27"/>
  </w:num>
  <w:num w:numId="20">
    <w:abstractNumId w:val="29"/>
  </w:num>
  <w:num w:numId="21">
    <w:abstractNumId w:val="40"/>
  </w:num>
  <w:num w:numId="22">
    <w:abstractNumId w:val="32"/>
  </w:num>
  <w:num w:numId="23">
    <w:abstractNumId w:val="20"/>
  </w:num>
  <w:num w:numId="24">
    <w:abstractNumId w:val="7"/>
  </w:num>
  <w:num w:numId="25">
    <w:abstractNumId w:val="41"/>
  </w:num>
  <w:num w:numId="26">
    <w:abstractNumId w:val="6"/>
  </w:num>
  <w:num w:numId="27">
    <w:abstractNumId w:val="30"/>
  </w:num>
  <w:num w:numId="28">
    <w:abstractNumId w:val="33"/>
  </w:num>
  <w:num w:numId="29">
    <w:abstractNumId w:val="13"/>
  </w:num>
  <w:num w:numId="30">
    <w:abstractNumId w:val="42"/>
  </w:num>
  <w:num w:numId="31">
    <w:abstractNumId w:val="37"/>
  </w:num>
  <w:num w:numId="32">
    <w:abstractNumId w:val="35"/>
  </w:num>
  <w:num w:numId="33">
    <w:abstractNumId w:val="0"/>
  </w:num>
  <w:num w:numId="34">
    <w:abstractNumId w:val="26"/>
  </w:num>
  <w:num w:numId="35">
    <w:abstractNumId w:val="36"/>
  </w:num>
  <w:num w:numId="36">
    <w:abstractNumId w:val="12"/>
  </w:num>
  <w:num w:numId="37">
    <w:abstractNumId w:val="39"/>
  </w:num>
  <w:num w:numId="38">
    <w:abstractNumId w:val="18"/>
  </w:num>
  <w:num w:numId="39">
    <w:abstractNumId w:val="21"/>
  </w:num>
  <w:num w:numId="40">
    <w:abstractNumId w:val="15"/>
  </w:num>
  <w:num w:numId="41">
    <w:abstractNumId w:val="44"/>
  </w:num>
  <w:num w:numId="42">
    <w:abstractNumId w:val="22"/>
  </w:num>
  <w:num w:numId="43">
    <w:abstractNumId w:val="16"/>
  </w:num>
  <w:num w:numId="44">
    <w:abstractNumId w:val="5"/>
  </w:num>
  <w:num w:numId="45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A5"/>
    <w:rsid w:val="000005A4"/>
    <w:rsid w:val="00001EBC"/>
    <w:rsid w:val="000034AD"/>
    <w:rsid w:val="000135E2"/>
    <w:rsid w:val="00013915"/>
    <w:rsid w:val="00015346"/>
    <w:rsid w:val="000318F9"/>
    <w:rsid w:val="000320F3"/>
    <w:rsid w:val="00032B6D"/>
    <w:rsid w:val="00034139"/>
    <w:rsid w:val="00040557"/>
    <w:rsid w:val="0004385B"/>
    <w:rsid w:val="00050F4C"/>
    <w:rsid w:val="00054E9F"/>
    <w:rsid w:val="000703B0"/>
    <w:rsid w:val="00073C14"/>
    <w:rsid w:val="0008062E"/>
    <w:rsid w:val="00093875"/>
    <w:rsid w:val="000A5202"/>
    <w:rsid w:val="000B3DC3"/>
    <w:rsid w:val="000E1EEB"/>
    <w:rsid w:val="000E706D"/>
    <w:rsid w:val="00112C0D"/>
    <w:rsid w:val="00114E3E"/>
    <w:rsid w:val="00121FB3"/>
    <w:rsid w:val="00137C66"/>
    <w:rsid w:val="00142E25"/>
    <w:rsid w:val="00152283"/>
    <w:rsid w:val="0017343A"/>
    <w:rsid w:val="001804DA"/>
    <w:rsid w:val="00180EE1"/>
    <w:rsid w:val="001839ED"/>
    <w:rsid w:val="00191440"/>
    <w:rsid w:val="00192C30"/>
    <w:rsid w:val="0019334C"/>
    <w:rsid w:val="001A4EB7"/>
    <w:rsid w:val="001D7FA2"/>
    <w:rsid w:val="001F305A"/>
    <w:rsid w:val="001F4FFD"/>
    <w:rsid w:val="001F7CC2"/>
    <w:rsid w:val="00247056"/>
    <w:rsid w:val="00247FC7"/>
    <w:rsid w:val="002522DC"/>
    <w:rsid w:val="002553F8"/>
    <w:rsid w:val="002578D2"/>
    <w:rsid w:val="00257E4B"/>
    <w:rsid w:val="00265BA5"/>
    <w:rsid w:val="00274213"/>
    <w:rsid w:val="00275680"/>
    <w:rsid w:val="0027737E"/>
    <w:rsid w:val="002867E6"/>
    <w:rsid w:val="00292C03"/>
    <w:rsid w:val="00292FCB"/>
    <w:rsid w:val="00295401"/>
    <w:rsid w:val="002A30B2"/>
    <w:rsid w:val="002A434F"/>
    <w:rsid w:val="002D4962"/>
    <w:rsid w:val="002E3540"/>
    <w:rsid w:val="002F09C4"/>
    <w:rsid w:val="0030403B"/>
    <w:rsid w:val="003066C2"/>
    <w:rsid w:val="00322042"/>
    <w:rsid w:val="00324C48"/>
    <w:rsid w:val="00330885"/>
    <w:rsid w:val="00345631"/>
    <w:rsid w:val="00353A8B"/>
    <w:rsid w:val="003824B3"/>
    <w:rsid w:val="0039166D"/>
    <w:rsid w:val="003A1203"/>
    <w:rsid w:val="003B58DF"/>
    <w:rsid w:val="003C1548"/>
    <w:rsid w:val="003C6B0A"/>
    <w:rsid w:val="003D414B"/>
    <w:rsid w:val="003E136E"/>
    <w:rsid w:val="003F12E7"/>
    <w:rsid w:val="003F4AD6"/>
    <w:rsid w:val="00424571"/>
    <w:rsid w:val="00431624"/>
    <w:rsid w:val="00431F0A"/>
    <w:rsid w:val="00432744"/>
    <w:rsid w:val="004504AC"/>
    <w:rsid w:val="0046138A"/>
    <w:rsid w:val="00465D9E"/>
    <w:rsid w:val="00492B49"/>
    <w:rsid w:val="004B39E1"/>
    <w:rsid w:val="004C1651"/>
    <w:rsid w:val="004E07A3"/>
    <w:rsid w:val="004E0C3F"/>
    <w:rsid w:val="004E731D"/>
    <w:rsid w:val="004F09E6"/>
    <w:rsid w:val="004F1CA7"/>
    <w:rsid w:val="004F2E40"/>
    <w:rsid w:val="00502E19"/>
    <w:rsid w:val="00504A93"/>
    <w:rsid w:val="00510014"/>
    <w:rsid w:val="0052626E"/>
    <w:rsid w:val="00537BA5"/>
    <w:rsid w:val="00544354"/>
    <w:rsid w:val="00555147"/>
    <w:rsid w:val="00563B4E"/>
    <w:rsid w:val="00564D94"/>
    <w:rsid w:val="00573A10"/>
    <w:rsid w:val="005756BA"/>
    <w:rsid w:val="0057754A"/>
    <w:rsid w:val="005804A9"/>
    <w:rsid w:val="005A5DDE"/>
    <w:rsid w:val="005C1BD5"/>
    <w:rsid w:val="005C452A"/>
    <w:rsid w:val="005D1F30"/>
    <w:rsid w:val="006015C4"/>
    <w:rsid w:val="00631742"/>
    <w:rsid w:val="00655CA5"/>
    <w:rsid w:val="00656C55"/>
    <w:rsid w:val="00664E6C"/>
    <w:rsid w:val="00672825"/>
    <w:rsid w:val="00676B73"/>
    <w:rsid w:val="006807F9"/>
    <w:rsid w:val="00683543"/>
    <w:rsid w:val="006A14C6"/>
    <w:rsid w:val="006A5F37"/>
    <w:rsid w:val="006F3D75"/>
    <w:rsid w:val="007022FB"/>
    <w:rsid w:val="00720BEF"/>
    <w:rsid w:val="0073527B"/>
    <w:rsid w:val="007709A9"/>
    <w:rsid w:val="00782828"/>
    <w:rsid w:val="00784EFA"/>
    <w:rsid w:val="007A523E"/>
    <w:rsid w:val="007B0BB8"/>
    <w:rsid w:val="007D3484"/>
    <w:rsid w:val="00800A7B"/>
    <w:rsid w:val="008067E2"/>
    <w:rsid w:val="008073DF"/>
    <w:rsid w:val="0081055E"/>
    <w:rsid w:val="008106D4"/>
    <w:rsid w:val="00823AAA"/>
    <w:rsid w:val="00832730"/>
    <w:rsid w:val="00840EB5"/>
    <w:rsid w:val="008446E1"/>
    <w:rsid w:val="0084617C"/>
    <w:rsid w:val="00850C63"/>
    <w:rsid w:val="008579D1"/>
    <w:rsid w:val="00864372"/>
    <w:rsid w:val="00884887"/>
    <w:rsid w:val="00885E57"/>
    <w:rsid w:val="00891264"/>
    <w:rsid w:val="008A0C41"/>
    <w:rsid w:val="008B0F17"/>
    <w:rsid w:val="008B795F"/>
    <w:rsid w:val="008C223F"/>
    <w:rsid w:val="008C74BB"/>
    <w:rsid w:val="008C7B8C"/>
    <w:rsid w:val="008E3961"/>
    <w:rsid w:val="008F2CEC"/>
    <w:rsid w:val="008F5E1B"/>
    <w:rsid w:val="008F724E"/>
    <w:rsid w:val="00900DF3"/>
    <w:rsid w:val="00903CF8"/>
    <w:rsid w:val="00915C71"/>
    <w:rsid w:val="00916D78"/>
    <w:rsid w:val="00922171"/>
    <w:rsid w:val="00923475"/>
    <w:rsid w:val="00923825"/>
    <w:rsid w:val="00927CCE"/>
    <w:rsid w:val="00932452"/>
    <w:rsid w:val="00947395"/>
    <w:rsid w:val="00960E9A"/>
    <w:rsid w:val="00967CC6"/>
    <w:rsid w:val="00975EAA"/>
    <w:rsid w:val="00997381"/>
    <w:rsid w:val="009B3744"/>
    <w:rsid w:val="009D2893"/>
    <w:rsid w:val="009E097D"/>
    <w:rsid w:val="009E4E46"/>
    <w:rsid w:val="009F6275"/>
    <w:rsid w:val="009F7C9E"/>
    <w:rsid w:val="00A00B44"/>
    <w:rsid w:val="00A025C8"/>
    <w:rsid w:val="00A104D1"/>
    <w:rsid w:val="00A219B4"/>
    <w:rsid w:val="00A330D5"/>
    <w:rsid w:val="00A333CE"/>
    <w:rsid w:val="00A43E4C"/>
    <w:rsid w:val="00A44573"/>
    <w:rsid w:val="00A47388"/>
    <w:rsid w:val="00A539DD"/>
    <w:rsid w:val="00A57726"/>
    <w:rsid w:val="00A625D0"/>
    <w:rsid w:val="00A66004"/>
    <w:rsid w:val="00A67B31"/>
    <w:rsid w:val="00A87D9A"/>
    <w:rsid w:val="00AA144B"/>
    <w:rsid w:val="00AA15CF"/>
    <w:rsid w:val="00AA25EB"/>
    <w:rsid w:val="00B10901"/>
    <w:rsid w:val="00B14807"/>
    <w:rsid w:val="00B23A3A"/>
    <w:rsid w:val="00B2785F"/>
    <w:rsid w:val="00B40BFE"/>
    <w:rsid w:val="00B53F89"/>
    <w:rsid w:val="00B57B28"/>
    <w:rsid w:val="00B710BF"/>
    <w:rsid w:val="00B841E3"/>
    <w:rsid w:val="00B8524A"/>
    <w:rsid w:val="00B92B6F"/>
    <w:rsid w:val="00B96A9E"/>
    <w:rsid w:val="00BA1144"/>
    <w:rsid w:val="00BA3537"/>
    <w:rsid w:val="00BA6CE9"/>
    <w:rsid w:val="00BA744A"/>
    <w:rsid w:val="00BB0325"/>
    <w:rsid w:val="00BB0CBC"/>
    <w:rsid w:val="00BD14A2"/>
    <w:rsid w:val="00BD78B5"/>
    <w:rsid w:val="00BE13F5"/>
    <w:rsid w:val="00BF0D2A"/>
    <w:rsid w:val="00C01458"/>
    <w:rsid w:val="00C367B0"/>
    <w:rsid w:val="00C50BA6"/>
    <w:rsid w:val="00C526A5"/>
    <w:rsid w:val="00C60834"/>
    <w:rsid w:val="00C65CB7"/>
    <w:rsid w:val="00C65FF6"/>
    <w:rsid w:val="00C94677"/>
    <w:rsid w:val="00C951AE"/>
    <w:rsid w:val="00CB1D6F"/>
    <w:rsid w:val="00CC2982"/>
    <w:rsid w:val="00CD4433"/>
    <w:rsid w:val="00CD61F4"/>
    <w:rsid w:val="00D12108"/>
    <w:rsid w:val="00D126C3"/>
    <w:rsid w:val="00D12EC5"/>
    <w:rsid w:val="00D14C02"/>
    <w:rsid w:val="00D251EA"/>
    <w:rsid w:val="00D271C4"/>
    <w:rsid w:val="00D27B41"/>
    <w:rsid w:val="00D41311"/>
    <w:rsid w:val="00D4588D"/>
    <w:rsid w:val="00D45899"/>
    <w:rsid w:val="00D4602B"/>
    <w:rsid w:val="00D51BCC"/>
    <w:rsid w:val="00D63930"/>
    <w:rsid w:val="00D71C63"/>
    <w:rsid w:val="00D84089"/>
    <w:rsid w:val="00D86E54"/>
    <w:rsid w:val="00D93280"/>
    <w:rsid w:val="00D9594B"/>
    <w:rsid w:val="00DB5B37"/>
    <w:rsid w:val="00DD698A"/>
    <w:rsid w:val="00E07C98"/>
    <w:rsid w:val="00E37B52"/>
    <w:rsid w:val="00E42BD5"/>
    <w:rsid w:val="00E7750A"/>
    <w:rsid w:val="00E87DE0"/>
    <w:rsid w:val="00E937CA"/>
    <w:rsid w:val="00EC08C2"/>
    <w:rsid w:val="00ED4301"/>
    <w:rsid w:val="00EE40FE"/>
    <w:rsid w:val="00F01604"/>
    <w:rsid w:val="00F027C7"/>
    <w:rsid w:val="00F05526"/>
    <w:rsid w:val="00F525D5"/>
    <w:rsid w:val="00F61D88"/>
    <w:rsid w:val="00F7167D"/>
    <w:rsid w:val="00F76453"/>
    <w:rsid w:val="00F91CF2"/>
    <w:rsid w:val="00F93D9D"/>
    <w:rsid w:val="00F973A4"/>
    <w:rsid w:val="00FA27DD"/>
    <w:rsid w:val="00FA31E5"/>
    <w:rsid w:val="00FA651F"/>
    <w:rsid w:val="00FB1C83"/>
    <w:rsid w:val="00FC5215"/>
    <w:rsid w:val="00FD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A6C3F7-504E-4CBE-9F15-1D19C12B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55CA5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1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EBC"/>
    <w:pPr>
      <w:widowControl/>
      <w:spacing w:after="160"/>
    </w:pPr>
    <w:rPr>
      <w:rFonts w:ascii="Times New Roman" w:eastAsiaTheme="minorHAnsi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EBC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E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EB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1EB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388"/>
    <w:pPr>
      <w:widowControl w:val="0"/>
      <w:spacing w:after="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38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510014"/>
    <w:pPr>
      <w:widowControl/>
    </w:pPr>
    <w:rPr>
      <w:rFonts w:ascii="Arial" w:hAnsi="Arial" w:cs="Arial"/>
      <w:noProof/>
      <w:sz w:val="20"/>
      <w:szCs w:val="24"/>
    </w:rPr>
  </w:style>
  <w:style w:type="character" w:customStyle="1" w:styleId="EndNoteBibliographyChar">
    <w:name w:val="EndNote Bibliography Char"/>
    <w:link w:val="EndNoteBibliography"/>
    <w:rsid w:val="00510014"/>
    <w:rPr>
      <w:rFonts w:ascii="Arial" w:eastAsia="Calibri" w:hAnsi="Arial" w:cs="Arial"/>
      <w:noProof/>
      <w:sz w:val="20"/>
      <w:szCs w:val="24"/>
    </w:rPr>
  </w:style>
  <w:style w:type="paragraph" w:customStyle="1" w:styleId="Default">
    <w:name w:val="Default"/>
    <w:rsid w:val="000153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D9594B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59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2E25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13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BE13F5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FA31E5"/>
    <w:pPr>
      <w:widowControl/>
      <w:tabs>
        <w:tab w:val="center" w:pos="4320"/>
        <w:tab w:val="right" w:pos="8640"/>
      </w:tabs>
    </w:pPr>
    <w:rPr>
      <w:rFonts w:ascii="Arial" w:eastAsia="Times New Roman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A31E5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938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875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8446E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4AD6"/>
    <w:rPr>
      <w:color w:val="605E5C"/>
      <w:shd w:val="clear" w:color="auto" w:fill="E1DFDD"/>
    </w:rPr>
  </w:style>
  <w:style w:type="paragraph" w:customStyle="1" w:styleId="pf0">
    <w:name w:val="pf0"/>
    <w:basedOn w:val="Normal"/>
    <w:rsid w:val="008579D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8579D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8579D1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8579D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9069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555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001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cbi.nlm.nih.gov/pubmed?term=Perl%20TM%5BAuthor%5D&amp;cauthor=true&amp;cauthor_uid=2332798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cbi.nlm.nih.gov/pubmed?term=Olsen%20KM%5BAuthor%5D&amp;cauthor=true&amp;cauthor_uid=2332798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ccn.org/professionals/physician_gls/pdf/infections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cbi.nlm.nih.gov/pubmed?term=Dellinger%20EP%5BAuthor%5D&amp;cauthor=true&amp;cauthor_uid=23327981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ncbi.nlm.nih.gov/pubmed/23327981" TargetMode="External"/><Relationship Id="rId10" Type="http://schemas.openxmlformats.org/officeDocument/2006/relationships/hyperlink" Target="http://www.ncbi.nlm.nih.gov/pubmed?term=Bratzler%20DW%5BAuthor%5D&amp;cauthor=true&amp;cauthor_uid=23327981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ncbi.nlm.nih.gov/pubmed?term=Auwaerter%20PG%5BAuthor%5D&amp;cauthor=true&amp;cauthor_uid=2332798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ardin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9CF6A90740B045997263CDA20946C7" ma:contentTypeVersion="12" ma:contentTypeDescription="Create a new document." ma:contentTypeScope="" ma:versionID="a16f1a16ba28435cbcbfdab5aac83cb9">
  <xsd:schema xmlns:xsd="http://www.w3.org/2001/XMLSchema" xmlns:xs="http://www.w3.org/2001/XMLSchema" xmlns:p="http://schemas.microsoft.com/office/2006/metadata/properties" xmlns:ns3="62474c1f-0ca4-47ce-89ff-67a7ca158a30" xmlns:ns4="99b6a7c9-be1c-43d1-bda8-65f0c95393ae" targetNamespace="http://schemas.microsoft.com/office/2006/metadata/properties" ma:root="true" ma:fieldsID="6bcc051eafa38a61e4302f779a7ac802" ns3:_="" ns4:_="">
    <xsd:import namespace="62474c1f-0ca4-47ce-89ff-67a7ca158a30"/>
    <xsd:import namespace="99b6a7c9-be1c-43d1-bda8-65f0c95393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4c1f-0ca4-47ce-89ff-67a7ca158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6a7c9-be1c-43d1-bda8-65f0c9539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075CE9-F9BA-43ED-9DA2-034347268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74c1f-0ca4-47ce-89ff-67a7ca158a30"/>
    <ds:schemaRef ds:uri="99b6a7c9-be1c-43d1-bda8-65f0c9539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3F2885-EAA1-441A-BC9A-96A2767431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41400-ED01-4885-8349-8548976FDAA0}">
  <ds:schemaRefs>
    <ds:schemaRef ds:uri="http://purl.org/dc/elements/1.1/"/>
    <ds:schemaRef ds:uri="http://schemas.microsoft.com/office/2006/metadata/properties"/>
    <ds:schemaRef ds:uri="62474c1f-0ca4-47ce-89ff-67a7ca158a3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9b6a7c9-be1c-43d1-bda8-65f0c95393a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962</Words>
  <Characters>5486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Shea</dc:creator>
  <cp:lastModifiedBy>Metzke, Megan</cp:lastModifiedBy>
  <cp:revision>2</cp:revision>
  <dcterms:created xsi:type="dcterms:W3CDTF">2023-07-11T12:59:00Z</dcterms:created>
  <dcterms:modified xsi:type="dcterms:W3CDTF">2023-07-11T12:59:00Z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0x010100AC9CF6A90740B045997263CDA20946C7</vt:lpwstr>
  </property>
</Properties>
</file>